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rFonts w:hint="eastAsia"/>
        </w:rPr>
        <w:t>　　　　　ラッシュ船に積載されて輸出入されるバージの通関手続について</w:t>
      </w:r>
    </w:p>
    <w:p>
      <w:pPr>
        <w:tabs>
          <w:tab w:val="center" w:pos="840"/>
          <w:tab w:val="center" w:pos="4252"/>
          <w:tab w:val="right" w:pos="8504"/>
        </w:tabs>
        <w:ind w:left="630" w:leftChars="300"/>
        <w:jc w:val="left"/>
        <w:rPr>
          <w:rFonts w:ascii="ＭＳ 明朝" w:hAnsi="ＭＳ 明朝"/>
        </w:rPr>
      </w:pPr>
      <w:r>
        <w:rPr>
          <w:rFonts w:ascii="ＭＳ 明朝" w:hAnsi="ＭＳ 明朝"/>
        </w:rPr>
        <w:tab/>
      </w:r>
      <w:r>
        <w:rPr>
          <w:rFonts w:hint="eastAsia" w:ascii="ＭＳ 明朝" w:hAnsi="ＭＳ 明朝"/>
        </w:rPr>
        <w:t>昭和</w:t>
      </w:r>
      <w:r>
        <w:rPr>
          <w:rFonts w:ascii="ＭＳ 明朝" w:hAnsi="ＭＳ 明朝"/>
        </w:rPr>
        <w:t>4</w:t>
      </w:r>
      <w:r>
        <w:rPr>
          <w:rFonts w:hint="eastAsia" w:ascii="ＭＳ 明朝" w:hAnsi="ＭＳ 明朝"/>
        </w:rPr>
        <w:t>6年8月2</w:t>
      </w:r>
      <w:r>
        <w:rPr>
          <w:rFonts w:ascii="ＭＳ 明朝" w:hAnsi="ＭＳ 明朝"/>
        </w:rPr>
        <w:t>1</w:t>
      </w:r>
      <w:r>
        <w:rPr>
          <w:rFonts w:hint="eastAsia" w:ascii="ＭＳ 明朝" w:hAnsi="ＭＳ 明朝"/>
        </w:rPr>
        <w:t>日蔵関第1640号</w:t>
      </w:r>
    </w:p>
    <w:p>
      <w:pPr>
        <w:tabs>
          <w:tab w:val="center" w:pos="840"/>
          <w:tab w:val="center" w:pos="4252"/>
          <w:tab w:val="right" w:pos="8504"/>
        </w:tabs>
        <w:jc w:val="left"/>
        <w:rPr>
          <w:rFonts w:ascii="ＭＳ 明朝" w:hAnsi="ＭＳ 明朝"/>
        </w:rPr>
      </w:pPr>
      <w:r>
        <w:rPr>
          <w:rFonts w:hint="eastAsia" w:ascii="ＭＳ 明朝" w:hAnsi="ＭＳ 明朝"/>
        </w:rPr>
        <w:t>改正　昭和55年12月25日蔵関第1353号</w:t>
      </w:r>
    </w:p>
    <w:p>
      <w:pPr>
        <w:tabs>
          <w:tab w:val="center" w:pos="840"/>
          <w:tab w:val="center" w:pos="4252"/>
          <w:tab w:val="right" w:pos="8504"/>
        </w:tabs>
        <w:jc w:val="left"/>
        <w:rPr>
          <w:rFonts w:ascii="ＭＳ 明朝" w:hAnsi="ＭＳ 明朝"/>
        </w:rPr>
      </w:pPr>
      <w:r>
        <w:rPr>
          <w:rFonts w:hint="eastAsia" w:ascii="ＭＳ 明朝" w:hAnsi="ＭＳ 明朝"/>
        </w:rPr>
        <w:t>改正　昭和</w:t>
      </w:r>
      <w:r>
        <w:rPr>
          <w:rFonts w:ascii="ＭＳ 明朝" w:hAnsi="ＭＳ 明朝"/>
        </w:rPr>
        <w:t>61</w:t>
      </w:r>
      <w:r>
        <w:rPr>
          <w:rFonts w:hint="eastAsia" w:ascii="ＭＳ 明朝" w:hAnsi="ＭＳ 明朝"/>
        </w:rPr>
        <w:t>年</w:t>
      </w:r>
      <w:r>
        <w:rPr>
          <w:rFonts w:ascii="ＭＳ 明朝" w:hAnsi="ＭＳ 明朝"/>
        </w:rPr>
        <w:t>6</w:t>
      </w:r>
      <w:r>
        <w:rPr>
          <w:rFonts w:hint="eastAsia" w:ascii="ＭＳ 明朝" w:hAnsi="ＭＳ 明朝"/>
        </w:rPr>
        <w:t>月</w:t>
      </w:r>
      <w:r>
        <w:rPr>
          <w:rFonts w:ascii="ＭＳ 明朝" w:hAnsi="ＭＳ 明朝"/>
        </w:rPr>
        <w:t>6</w:t>
      </w:r>
      <w:r>
        <w:rPr>
          <w:rFonts w:hint="eastAsia" w:ascii="ＭＳ 明朝" w:hAnsi="ＭＳ 明朝"/>
        </w:rPr>
        <w:t>日蔵関第</w:t>
      </w:r>
      <w:r>
        <w:rPr>
          <w:rFonts w:ascii="ＭＳ 明朝" w:hAnsi="ＭＳ 明朝"/>
        </w:rPr>
        <w:t>587</w:t>
      </w:r>
      <w:r>
        <w:rPr>
          <w:rFonts w:hint="eastAsia" w:ascii="ＭＳ 明朝" w:hAnsi="ＭＳ 明朝"/>
        </w:rPr>
        <w:t>号</w:t>
      </w:r>
    </w:p>
    <w:p>
      <w:pPr>
        <w:tabs>
          <w:tab w:val="center" w:pos="840"/>
          <w:tab w:val="center" w:pos="4252"/>
          <w:tab w:val="right" w:pos="8504"/>
        </w:tabs>
        <w:jc w:val="left"/>
        <w:rPr>
          <w:rFonts w:ascii="ＭＳ 明朝" w:hAnsi="ＭＳ 明朝"/>
        </w:rPr>
      </w:pPr>
      <w:r>
        <w:rPr>
          <w:rFonts w:hint="eastAsia" w:ascii="ＭＳ 明朝" w:hAnsi="ＭＳ 明朝"/>
        </w:rPr>
        <w:t>改正　昭和</w:t>
      </w:r>
      <w:r>
        <w:rPr>
          <w:rFonts w:ascii="ＭＳ 明朝" w:hAnsi="ＭＳ 明朝"/>
        </w:rPr>
        <w:t>6</w:t>
      </w:r>
      <w:r>
        <w:rPr>
          <w:rFonts w:hint="eastAsia" w:ascii="ＭＳ 明朝" w:hAnsi="ＭＳ 明朝"/>
        </w:rPr>
        <w:t>2年12月25日蔵関第1306号</w:t>
      </w:r>
    </w:p>
    <w:p>
      <w:pPr>
        <w:tabs>
          <w:tab w:val="center" w:pos="840"/>
          <w:tab w:val="center" w:pos="4252"/>
          <w:tab w:val="right" w:pos="8504"/>
        </w:tabs>
        <w:jc w:val="left"/>
        <w:rPr>
          <w:rFonts w:ascii="ＭＳ 明朝" w:hAnsi="ＭＳ 明朝"/>
        </w:rPr>
      </w:pPr>
      <w:r>
        <w:rPr>
          <w:rFonts w:hint="eastAsia" w:ascii="ＭＳ 明朝" w:hAnsi="ＭＳ 明朝"/>
        </w:rPr>
        <w:t>改正　平成23年3月31日蔵関第411号</w:t>
      </w:r>
    </w:p>
    <w:p>
      <w:pPr>
        <w:tabs>
          <w:tab w:val="center" w:pos="840"/>
          <w:tab w:val="center" w:pos="4252"/>
          <w:tab w:val="right" w:pos="8504"/>
        </w:tabs>
        <w:jc w:val="left"/>
        <w:rPr>
          <w:rFonts w:ascii="ＭＳ 明朝" w:hAnsi="ＭＳ 明朝"/>
        </w:rPr>
      </w:pPr>
      <w:r>
        <w:rPr>
          <w:rFonts w:hint="eastAsia" w:ascii="ＭＳ 明朝" w:hAnsi="ＭＳ 明朝"/>
        </w:rPr>
        <w:t>改正　平成23年8月10日蔵関第901号</w:t>
      </w:r>
    </w:p>
    <w:p>
      <w:pPr>
        <w:rPr>
          <w:rFonts w:ascii="ＭＳ 明朝" w:hAnsi="ＭＳ 明朝"/>
        </w:rPr>
      </w:pPr>
      <w:r>
        <w:rPr>
          <w:rFonts w:hint="eastAsia" w:ascii="ＭＳ 明朝" w:hAnsi="ＭＳ 明朝"/>
        </w:rPr>
        <w:t>改正　平成</w:t>
      </w:r>
      <w:r>
        <w:rPr>
          <w:rFonts w:ascii="ＭＳ 明朝" w:hAnsi="ＭＳ 明朝"/>
        </w:rPr>
        <w:t>24</w:t>
      </w:r>
      <w:r>
        <w:rPr>
          <w:rFonts w:hint="eastAsia" w:ascii="ＭＳ 明朝" w:hAnsi="ＭＳ 明朝"/>
        </w:rPr>
        <w:t>年</w:t>
      </w:r>
      <w:r>
        <w:rPr>
          <w:rFonts w:ascii="ＭＳ 明朝" w:hAnsi="ＭＳ 明朝"/>
        </w:rPr>
        <w:t>6</w:t>
      </w:r>
      <w:r>
        <w:rPr>
          <w:rFonts w:hint="eastAsia" w:ascii="ＭＳ 明朝" w:hAnsi="ＭＳ 明朝"/>
        </w:rPr>
        <w:t>月</w:t>
      </w:r>
      <w:r>
        <w:rPr>
          <w:rFonts w:ascii="ＭＳ 明朝" w:hAnsi="ＭＳ 明朝"/>
        </w:rPr>
        <w:t>15</w:t>
      </w:r>
      <w:r>
        <w:rPr>
          <w:rFonts w:hint="eastAsia" w:ascii="ＭＳ 明朝" w:hAnsi="ＭＳ 明朝"/>
        </w:rPr>
        <w:t>日蔵関第</w:t>
      </w:r>
      <w:r>
        <w:rPr>
          <w:rFonts w:ascii="ＭＳ 明朝" w:hAnsi="ＭＳ 明朝"/>
        </w:rPr>
        <w:t>615</w:t>
      </w:r>
      <w:r>
        <w:rPr>
          <w:rFonts w:hint="eastAsia" w:ascii="ＭＳ 明朝" w:hAnsi="ＭＳ 明朝"/>
        </w:rPr>
        <w:t>号</w:t>
      </w:r>
    </w:p>
    <w:p>
      <w:pPr>
        <w:rPr>
          <w:rFonts w:ascii="ＭＳ 明朝" w:hAnsi="ＭＳ 明朝"/>
        </w:rPr>
      </w:pPr>
      <w:r>
        <w:rPr>
          <w:rFonts w:hint="eastAsia" w:ascii="ＭＳ 明朝" w:hAnsi="ＭＳ 明朝"/>
        </w:rPr>
        <w:t>改正　平成</w:t>
      </w:r>
      <w:r>
        <w:rPr>
          <w:rFonts w:ascii="ＭＳ 明朝" w:hAnsi="ＭＳ 明朝"/>
        </w:rPr>
        <w:t>28</w:t>
      </w:r>
      <w:r>
        <w:rPr>
          <w:rFonts w:hint="eastAsia" w:ascii="ＭＳ 明朝" w:hAnsi="ＭＳ 明朝"/>
        </w:rPr>
        <w:t>年</w:t>
      </w:r>
      <w:r>
        <w:rPr>
          <w:rFonts w:ascii="ＭＳ 明朝" w:hAnsi="ＭＳ 明朝"/>
        </w:rPr>
        <w:t>2</w:t>
      </w:r>
      <w:r>
        <w:rPr>
          <w:rFonts w:hint="eastAsia" w:ascii="ＭＳ 明朝" w:hAnsi="ＭＳ 明朝"/>
        </w:rPr>
        <w:t>月</w:t>
      </w:r>
      <w:r>
        <w:rPr>
          <w:rFonts w:ascii="ＭＳ 明朝" w:hAnsi="ＭＳ 明朝"/>
        </w:rPr>
        <w:t>29</w:t>
      </w:r>
      <w:r>
        <w:rPr>
          <w:rFonts w:hint="eastAsia" w:ascii="ＭＳ 明朝" w:hAnsi="ＭＳ 明朝"/>
        </w:rPr>
        <w:t>日蔵関第901号</w:t>
      </w:r>
    </w:p>
    <w:p>
      <w:pPr>
        <w:rPr>
          <w:rFonts w:ascii="ＭＳ 明朝" w:hAnsi="ＭＳ 明朝"/>
        </w:rPr>
      </w:pPr>
      <w:r>
        <w:rPr>
          <w:rFonts w:hint="eastAsia" w:ascii="ＭＳ 明朝" w:hAnsi="ＭＳ 明朝"/>
        </w:rPr>
        <w:t>改正　令和3年3月31日財関第285号</w:t>
      </w:r>
    </w:p>
    <w:p>
      <w:pPr>
        <w:rPr>
          <w:rFonts w:hint="eastAsia"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令和3年6月30日財関第504号</w:t>
      </w:r>
    </w:p>
    <w:p/>
    <w:p>
      <w:pPr>
        <w:ind w:firstLine="210" w:firstLineChars="100"/>
      </w:pPr>
      <w:r>
        <w:rPr>
          <w:rFonts w:hint="eastAsia"/>
        </w:rPr>
        <w:t>ラッシュ（LASH＝LIGHTER ABOARD SHIP）船に積載して輸出入するラッシュパージ（以下「パージ」という。）についての通関手続を下記のとおり定めたので、昭和46年8月21日から当分の間、これにより処理されたい。</w:t>
      </w:r>
    </w:p>
    <w:p>
      <w:pPr>
        <w:jc w:val="center"/>
      </w:pPr>
      <w:r>
        <w:rPr>
          <w:rFonts w:hint="eastAsia"/>
        </w:rPr>
        <w:t>記</w:t>
      </w:r>
    </w:p>
    <w:p>
      <w:pPr>
        <w:ind w:firstLine="210" w:firstLineChars="100"/>
      </w:pPr>
      <w:r>
        <w:rPr>
          <w:rFonts w:hint="eastAsia"/>
        </w:rPr>
        <w:t>再輸出することを条件として一時的に輸入されるパージについては、関税定率法（明治43年法律第54号。以下「定率法」という。）第17条第1項第2号又は第3号の規定による再輸出免税扱いすることとし、その具体的な輸入及び輸出の手続は、次による。</w:t>
      </w:r>
    </w:p>
    <w:p>
      <w:pPr>
        <w:ind w:left="210" w:hanging="210" w:hangingChars="100"/>
      </w:pPr>
      <w:r>
        <w:rPr>
          <w:rFonts w:hint="eastAsia"/>
        </w:rPr>
        <w:t>１　輸入の際の通関手続</w:t>
      </w:r>
    </w:p>
    <w:p>
      <w:pPr>
        <w:ind w:left="420" w:leftChars="100" w:hanging="210" w:hangingChars="100"/>
      </w:pPr>
      <w:r>
        <w:rPr>
          <w:rFonts w:hint="eastAsia"/>
        </w:rPr>
        <w:t>⑴　輸入申告及び免税の手続</w:t>
      </w:r>
    </w:p>
    <w:p>
      <w:pPr>
        <w:ind w:left="420" w:leftChars="200" w:firstLine="210" w:firstLineChars="100"/>
      </w:pPr>
      <w:r>
        <w:rPr>
          <w:rFonts w:hint="eastAsia"/>
        </w:rPr>
        <w:t>関税法施行令（昭和29年政令第150号。以下「関税令」という。）第59条第1項の規定による輸入の申告及び関税定率法施行令（昭和29年政令第155号。以下「定率令」という。）第34条の規定による免税の手続は、別紙様式「パージ輸出入（納税）申告書（再輸出免税明細書兼用）」を2通（原本及び輸入許可書用）提出させて行わせることとする。</w:t>
      </w:r>
    </w:p>
    <w:p>
      <w:pPr>
        <w:ind w:left="420" w:leftChars="200" w:firstLine="210" w:firstLineChars="100"/>
      </w:pPr>
      <w:r>
        <w:rPr>
          <w:rFonts w:hint="eastAsia"/>
        </w:rPr>
        <w:t xml:space="preserve">この場合、仕入書その他の申告の内容を確認するために必要な書類（以下「仕入書等」という。）の提出は、省略することとする。 </w:t>
      </w:r>
    </w:p>
    <w:p>
      <w:pPr>
        <w:ind w:left="420" w:leftChars="100" w:hanging="210" w:hangingChars="100"/>
      </w:pPr>
      <w:r>
        <w:rPr>
          <w:rFonts w:hint="eastAsia"/>
        </w:rPr>
        <w:t>⑵　輸入の本船扱い</w:t>
      </w:r>
    </w:p>
    <w:p>
      <w:pPr>
        <w:ind w:left="420" w:leftChars="200" w:firstLine="210" w:firstLineChars="100"/>
      </w:pPr>
      <w:r>
        <w:rPr>
          <w:rFonts w:hint="eastAsia"/>
        </w:rPr>
        <w:t>上記⑴の輸入手続は、関税法（昭和29年法律第61号。以下「法」という。）第67条の２第２項に規定する本船扱いによることとする。</w:t>
      </w:r>
    </w:p>
    <w:p>
      <w:pPr>
        <w:ind w:left="420" w:leftChars="200" w:firstLine="210" w:firstLineChars="100"/>
      </w:pPr>
      <w:r>
        <w:rPr>
          <w:rFonts w:hint="eastAsia"/>
        </w:rPr>
        <w:t>この場合、関税令第59条の５第２項に規定する本船扱いの承認申請手続は、別紙様式の標題の下に「本船扱い承認申請書」と併記させ、輸入申告書と兼用させることとし、提出された輸入申告書を税関が受理したことにより本船扱いの承認があったものとして取り扱うこととする。</w:t>
      </w:r>
    </w:p>
    <w:p>
      <w:pPr>
        <w:ind w:left="420" w:leftChars="100" w:hanging="210" w:hangingChars="100"/>
      </w:pPr>
      <w:r>
        <w:rPr>
          <w:rFonts w:hint="eastAsia"/>
        </w:rPr>
        <w:t>⑶　輸入申告書の記載要領</w:t>
      </w:r>
    </w:p>
    <w:p>
      <w:pPr>
        <w:ind w:left="420" w:leftChars="200" w:firstLine="210" w:firstLineChars="100"/>
      </w:pPr>
      <w:r>
        <w:rPr>
          <w:rFonts w:hint="eastAsia"/>
        </w:rPr>
        <w:t>別紙様式を輸入申告書として使用する場合の記載要顎は、次による。この場合、輸入申告書中上段の提出に係る事項の記載は要しない。</w:t>
      </w:r>
    </w:p>
    <w:p>
      <w:pPr>
        <w:ind w:left="420" w:leftChars="200" w:firstLine="210" w:firstLineChars="100"/>
      </w:pPr>
      <w:r>
        <w:rPr>
          <w:rFonts w:hint="eastAsia"/>
        </w:rPr>
        <w:t>なお、再輸出の際、輸出されたことの確認を容易にするため、輸入申告は、原則として1パージ1申告とするものとするが、輸入されるパージについてあらかじめ輸出の際のラッシュ母船への積込みが同時に行われることが明らかなものについては、当該同時に積み込まれるパージを1申告書に記載させて差し支えない（この場合において、免税適用条項が異なる場合は、免税適用条項ごとに欄を分けて記載させること）。</w:t>
      </w:r>
    </w:p>
    <w:p>
      <w:pPr>
        <w:ind w:left="630" w:leftChars="200" w:hanging="210" w:hangingChars="100"/>
      </w:pPr>
      <w:r>
        <w:rPr>
          <w:rFonts w:hint="eastAsia"/>
        </w:rPr>
        <w:t>イ　申告番号　輸入者ごとの一連番号を記載させる。</w:t>
      </w:r>
    </w:p>
    <w:p>
      <w:pPr>
        <w:ind w:left="630" w:leftChars="200" w:hanging="210" w:hangingChars="100"/>
      </w:pPr>
      <w:r>
        <w:rPr>
          <w:rFonts w:hint="eastAsia"/>
        </w:rPr>
        <w:t>ロ　品名、記号　米国におけるパージの登録番号を記載させる。</w:t>
      </w:r>
    </w:p>
    <w:p>
      <w:pPr>
        <w:ind w:left="630" w:leftChars="200" w:hanging="210" w:hangingChars="100"/>
      </w:pPr>
      <w:r>
        <w:rPr>
          <w:rFonts w:hint="eastAsia"/>
        </w:rPr>
        <w:t>ハ　申告価格CIF価格を記載させる。</w:t>
      </w:r>
    </w:p>
    <w:p>
      <w:pPr>
        <w:ind w:left="630" w:leftChars="300" w:firstLine="210" w:firstLineChars="100"/>
      </w:pPr>
      <w:r>
        <w:rPr>
          <w:rFonts w:hint="eastAsia"/>
        </w:rPr>
        <w:t>なお、あらかじめ輸入者よりパージの価格に関する資料を提出させ、これに基づいて税関で一定の申告価格を教示することとして差し支えない。</w:t>
      </w:r>
    </w:p>
    <w:p>
      <w:pPr>
        <w:ind w:left="630" w:leftChars="200" w:hanging="210" w:hangingChars="100"/>
      </w:pPr>
      <w:r>
        <w:rPr>
          <w:rFonts w:hint="eastAsia"/>
        </w:rPr>
        <w:t>ニ　税表番号　船舶（第8901．90号）として分類する。</w:t>
      </w:r>
    </w:p>
    <w:p>
      <w:pPr>
        <w:ind w:left="630" w:leftChars="200" w:hanging="210" w:hangingChars="100"/>
      </w:pPr>
      <w:r>
        <w:rPr>
          <w:rFonts w:hint="eastAsia"/>
        </w:rPr>
        <w:t>ホ　免税条項　輸入の際、貨物を積載しているものは、「定率法第17条第1項第2号」と記載させ、空のまま輸入されるものは「定率法第17条第1項第3号」と記載させる。</w:t>
      </w:r>
    </w:p>
    <w:p>
      <w:pPr>
        <w:ind w:left="630" w:leftChars="200" w:hanging="210" w:hangingChars="100"/>
      </w:pPr>
      <w:r>
        <w:rPr>
          <w:rFonts w:hint="eastAsia"/>
        </w:rPr>
        <w:t>へ　関税額　関税額の下に免税額をかっこ書で記載させる。</w:t>
      </w:r>
    </w:p>
    <w:p>
      <w:pPr>
        <w:ind w:left="630" w:leftChars="200" w:hanging="210" w:hangingChars="100"/>
      </w:pPr>
      <w:r>
        <w:rPr>
          <w:rFonts w:hint="eastAsia"/>
        </w:rPr>
        <w:t>ト　パージを積もうとする船舶　不明の場合は記載を省略させて差し支えない。</w:t>
      </w:r>
    </w:p>
    <w:p>
      <w:pPr>
        <w:ind w:left="630" w:leftChars="200" w:hanging="210" w:hangingChars="100"/>
      </w:pPr>
      <w:r>
        <w:rPr>
          <w:rFonts w:hint="eastAsia"/>
        </w:rPr>
        <w:t>チ　使用の場所　積載貨物を陸揚げ又は積み込もうとする港名及びはしけだまり等の名称を記載させる。</w:t>
      </w:r>
    </w:p>
    <w:p>
      <w:pPr>
        <w:ind w:left="630" w:leftChars="200" w:hanging="210" w:hangingChars="100"/>
      </w:pPr>
      <w:r>
        <w:rPr>
          <w:rFonts w:hint="eastAsia"/>
        </w:rPr>
        <w:t>リ　輸入の目的パージの輸入の目的を簡単に記載させる。</w:t>
      </w:r>
    </w:p>
    <w:p>
      <w:pPr>
        <w:ind w:left="420" w:leftChars="100" w:hanging="210" w:hangingChars="100"/>
      </w:pPr>
      <w:r>
        <w:rPr>
          <w:rFonts w:hint="eastAsia"/>
        </w:rPr>
        <w:t>⑷　輸入申告の時期</w:t>
      </w:r>
    </w:p>
    <w:p>
      <w:pPr>
        <w:ind w:left="420" w:leftChars="200" w:firstLine="210" w:firstLineChars="100"/>
      </w:pPr>
      <w:r>
        <w:rPr>
          <w:rFonts w:hint="eastAsia"/>
        </w:rPr>
        <w:t>パージの輸入手続は、前記⑵により本船扱いで行われるが、輸入申告は、法第67条の2第4項の規定により当該バージに係る積荷に関する事項が税関に報告された後に行わせることとなるので留意する。</w:t>
      </w:r>
    </w:p>
    <w:p>
      <w:pPr>
        <w:ind w:left="420" w:leftChars="200" w:firstLine="210" w:firstLineChars="100"/>
      </w:pPr>
      <w:r>
        <w:rPr>
          <w:rFonts w:hint="eastAsia"/>
        </w:rPr>
        <w:t>なお、他の貨物の積卸し等のためパージの船卸しを急ぐ場合には、あらかじめ輸入申告書を提出させ事前審査を行うこととして差し支えない。</w:t>
      </w:r>
    </w:p>
    <w:p>
      <w:pPr>
        <w:ind w:left="420" w:leftChars="100" w:hanging="210" w:hangingChars="100"/>
      </w:pPr>
      <w:r>
        <w:rPr>
          <w:rFonts w:hint="eastAsia"/>
        </w:rPr>
        <w:t>⑸　輸入の許可</w:t>
      </w:r>
    </w:p>
    <w:p>
      <w:pPr>
        <w:ind w:left="420" w:leftChars="200" w:firstLine="210" w:firstLineChars="100"/>
      </w:pPr>
      <w:r>
        <w:rPr>
          <w:rFonts w:hint="eastAsia"/>
        </w:rPr>
        <w:t>輸入を許可したときは、輸入申告書（許可書用）の輸入許可印欄に許可印を押なつした上、これを輸入許可書として申告者に交付し、輸入申告書（原本用）に輸入許可日を記載する。</w:t>
      </w:r>
    </w:p>
    <w:p>
      <w:pPr>
        <w:ind w:left="420" w:leftChars="100" w:hanging="210" w:hangingChars="100"/>
      </w:pPr>
      <w:r>
        <w:rPr>
          <w:rFonts w:hint="eastAsia"/>
        </w:rPr>
        <w:t>⑹　担保の取扱い</w:t>
      </w:r>
    </w:p>
    <w:p>
      <w:pPr>
        <w:ind w:left="420" w:leftChars="200" w:firstLine="210" w:firstLineChars="100"/>
      </w:pPr>
      <w:r>
        <w:rPr>
          <w:rFonts w:hint="eastAsia"/>
        </w:rPr>
        <w:t>前記⑴の輸入の際における定率法第17条第2項で準用する同法第13条第3項の規定による担保については、原則として、その提供を省略させて差し支えない。</w:t>
      </w:r>
    </w:p>
    <w:p>
      <w:pPr>
        <w:ind w:left="420" w:leftChars="100" w:hanging="210" w:hangingChars="100"/>
      </w:pPr>
      <w:r>
        <w:rPr>
          <w:rFonts w:hint="eastAsia"/>
        </w:rPr>
        <w:t>⑺　再輸出免税扱いとする附属品等の取扱い</w:t>
      </w:r>
    </w:p>
    <w:p>
      <w:pPr>
        <w:ind w:left="420" w:leftChars="200" w:firstLine="210" w:firstLineChars="100"/>
      </w:pPr>
      <w:r>
        <w:rPr>
          <w:rFonts w:hint="eastAsia"/>
        </w:rPr>
        <w:t>パージとともに輸入されるダンネージ、ラッシング、セバレーションネット、パレット、プレスリング及びこれらに類似するもの（以下「附属品等」という。）のうち、通常、当該パージの使用上必要と認められる範囲のものについては、パージと一体として取り扱い、輸入申告書への特掲は省略させる。</w:t>
      </w:r>
    </w:p>
    <w:p>
      <w:pPr>
        <w:ind w:left="420" w:leftChars="100" w:hanging="210" w:hangingChars="100"/>
      </w:pPr>
      <w:r>
        <w:rPr>
          <w:rFonts w:hint="eastAsia"/>
        </w:rPr>
        <w:t>⑻　普通貿易統計の取扱い</w:t>
      </w:r>
    </w:p>
    <w:p>
      <w:pPr>
        <w:ind w:left="420" w:leftChars="200" w:firstLine="210" w:firstLineChars="100"/>
      </w:pPr>
      <w:r>
        <w:rPr>
          <w:rFonts w:hint="eastAsia"/>
        </w:rPr>
        <w:t>当該パージについては、「外国貿易等に関する統計基本通達」（昭和59年10月17日蔵関第1048号）21－2（貿易統計上除外貨物）の⑺に該当し、輸入及び輸出ともに計上除外貨物となるので留意する。</w:t>
      </w:r>
    </w:p>
    <w:p>
      <w:r>
        <w:rPr>
          <w:rFonts w:hint="eastAsia"/>
        </w:rPr>
        <w:t>2　輸出の際の通関手続</w:t>
      </w:r>
    </w:p>
    <w:p>
      <w:pPr>
        <w:ind w:left="420" w:leftChars="100" w:hanging="210" w:hangingChars="100"/>
      </w:pPr>
      <w:r>
        <w:rPr>
          <w:rFonts w:hint="eastAsia"/>
        </w:rPr>
        <w:t>⑴　輸出申告</w:t>
      </w:r>
    </w:p>
    <w:p>
      <w:pPr>
        <w:ind w:left="420" w:leftChars="200" w:firstLine="210" w:firstLineChars="100"/>
      </w:pPr>
      <w:r>
        <w:rPr>
          <w:rFonts w:hint="eastAsia"/>
        </w:rPr>
        <w:t>関税令第58条の規定による輸出の申告及び定率令第39条の規定による輸出の手続は、前記1の⑸により交付した輸入許可書（輸出許可書用）及び当該許可書と同一の内容を記載させた別紙様式による輸出申告書（原本用）を提出させて行わせることとする。</w:t>
      </w:r>
    </w:p>
    <w:p>
      <w:pPr>
        <w:ind w:left="420" w:leftChars="200" w:firstLine="210" w:firstLineChars="100"/>
      </w:pPr>
      <w:r>
        <w:rPr>
          <w:rFonts w:hint="eastAsia"/>
        </w:rPr>
        <w:t>この場合、仕入書等の提出は省略することとする。</w:t>
      </w:r>
    </w:p>
    <w:p>
      <w:pPr>
        <w:ind w:left="420" w:leftChars="200" w:firstLine="210" w:firstLineChars="100"/>
      </w:pPr>
      <w:r>
        <w:rPr>
          <w:rFonts w:hint="eastAsia"/>
        </w:rPr>
        <w:t>なお、1輸入申告で輸入された複数のパージが、やむを得ない事情により分割して輸出されることとなった場合には、上記の輸入許可書（輸出許可書用）及び当該分割輸出されるパージに係る輸出申告書（原本用）を提出させて輸出申告を行わせる。</w:t>
      </w:r>
    </w:p>
    <w:p>
      <w:pPr>
        <w:ind w:left="420" w:leftChars="100" w:hanging="210" w:hangingChars="100"/>
      </w:pPr>
      <w:r>
        <w:rPr>
          <w:rFonts w:hint="eastAsia"/>
        </w:rPr>
        <w:t>⑵　輸出の本船扱い</w:t>
      </w:r>
    </w:p>
    <w:p>
      <w:pPr>
        <w:ind w:left="420" w:leftChars="200" w:firstLine="210" w:firstLineChars="100"/>
      </w:pPr>
      <w:r>
        <w:rPr>
          <w:rFonts w:hint="eastAsia"/>
        </w:rPr>
        <w:t>前記⑴の輸出手続は、法第67条の3第2項に規定する本船扱いによることとする。</w:t>
      </w:r>
    </w:p>
    <w:p>
      <w:pPr>
        <w:ind w:left="420" w:leftChars="200" w:firstLine="210" w:firstLineChars="100"/>
      </w:pPr>
      <w:r>
        <w:rPr>
          <w:rFonts w:hint="eastAsia"/>
        </w:rPr>
        <w:t>この場合、本船扱いの承認申請手続及び承認の取扱いは、上記1の⑵を準用する。</w:t>
      </w:r>
    </w:p>
    <w:p>
      <w:pPr>
        <w:ind w:left="420" w:leftChars="200" w:firstLine="210" w:firstLineChars="100"/>
      </w:pPr>
      <w:r>
        <w:rPr>
          <w:rFonts w:hint="eastAsia"/>
        </w:rPr>
        <w:t>なお、本船扱いの承認申請手続は、パージをラッシュ母船に積み込む前に行わせること。</w:t>
      </w:r>
    </w:p>
    <w:p>
      <w:pPr>
        <w:ind w:left="420" w:leftChars="100" w:hanging="210" w:hangingChars="100"/>
      </w:pPr>
      <w:r>
        <w:rPr>
          <w:rFonts w:hint="eastAsia"/>
        </w:rPr>
        <w:t>⑶　輸出申告書の記載要領</w:t>
      </w:r>
    </w:p>
    <w:p>
      <w:pPr>
        <w:ind w:left="420" w:leftChars="200" w:firstLine="210" w:firstLineChars="100"/>
      </w:pPr>
      <w:r>
        <w:rPr>
          <w:rFonts w:hint="eastAsia"/>
        </w:rPr>
        <w:t>前記1の⑸により交付した輸入許可書を輸出中告書として提出する際の記載要領は、次による。</w:t>
      </w:r>
    </w:p>
    <w:p>
      <w:pPr>
        <w:ind w:left="630" w:leftChars="200" w:hanging="210" w:hangingChars="100"/>
      </w:pPr>
      <w:r>
        <w:rPr>
          <w:rFonts w:hint="eastAsia"/>
        </w:rPr>
        <w:t>イ　申告番号　輸出者ごとの一連番号を記載する。</w:t>
      </w:r>
    </w:p>
    <w:p>
      <w:pPr>
        <w:ind w:left="630" w:leftChars="200" w:hanging="210" w:hangingChars="100"/>
      </w:pPr>
      <w:r>
        <w:rPr>
          <w:rFonts w:hint="eastAsia"/>
        </w:rPr>
        <w:t>ロ　申告価格　輸入後、重大な揖傷を生じた場合（原状回復程度の修理をした場合を除く。）のほかは、便宜、輸入の際の価格とする。</w:t>
      </w:r>
    </w:p>
    <w:p>
      <w:pPr>
        <w:ind w:left="630" w:leftChars="200" w:hanging="210" w:hangingChars="100"/>
      </w:pPr>
      <w:r>
        <w:rPr>
          <w:rFonts w:hint="eastAsia"/>
        </w:rPr>
        <w:t>ハ　パージを積み込もうとする船舶　輸入の際に記載を省略した場合に記載される。</w:t>
      </w:r>
    </w:p>
    <w:p>
      <w:pPr>
        <w:ind w:left="630" w:leftChars="300" w:firstLine="210" w:firstLineChars="100"/>
      </w:pPr>
      <w:r>
        <w:rPr>
          <w:rFonts w:hint="eastAsia"/>
        </w:rPr>
        <w:t>なお、輸入の際に記載した船舶が変更された場合には訂正させること。</w:t>
      </w:r>
    </w:p>
    <w:p>
      <w:pPr>
        <w:ind w:left="420" w:leftChars="100" w:hanging="210" w:hangingChars="100"/>
      </w:pPr>
      <w:r>
        <w:rPr>
          <w:rFonts w:hint="eastAsia"/>
        </w:rPr>
        <w:t>⑷　輸出申告の時期</w:t>
      </w:r>
    </w:p>
    <w:p>
      <w:pPr>
        <w:ind w:left="420" w:leftChars="200" w:firstLine="210" w:firstLineChars="100"/>
      </w:pPr>
      <w:r>
        <w:rPr>
          <w:rFonts w:hint="eastAsia"/>
        </w:rPr>
        <w:t>当該パージの輸出手続が、前記⑵により本船扱いで行われることから、バージのラッシュ母船への積込みが完了する前であっても、輸出申告書を提出することができる。</w:t>
      </w:r>
    </w:p>
    <w:p>
      <w:pPr>
        <w:ind w:left="420" w:leftChars="100" w:hanging="210" w:hangingChars="100"/>
      </w:pPr>
      <w:r>
        <w:rPr>
          <w:rFonts w:hint="eastAsia"/>
        </w:rPr>
        <w:t>⑸　輸出の許可</w:t>
      </w:r>
    </w:p>
    <w:p>
      <w:pPr>
        <w:ind w:left="420" w:leftChars="200" w:firstLine="210" w:firstLineChars="100"/>
      </w:pPr>
      <w:r>
        <w:rPr>
          <w:rFonts w:hint="eastAsia"/>
        </w:rPr>
        <w:t>輸出の許可は、バージのラッシュ母船への積込みが完了した後に行うものとし、輸出を許可したときは、前記⑴により提出された輸出申告書（許可書用）の輸出許可印欄に許可印を押なつした上、これを申告者に交付し、輸出申告書（原本用）に輸出許可年月日を記載する。</w:t>
      </w:r>
    </w:p>
    <w:p>
      <w:pPr>
        <w:ind w:left="420" w:leftChars="200" w:firstLine="210" w:firstLineChars="100"/>
      </w:pPr>
      <w:r>
        <w:rPr>
          <w:rFonts w:hint="eastAsia"/>
        </w:rPr>
        <w:t>ただし、前記⑴のなお書に係る輸入許可書（輸出許可書用）については、輸入許可の際の記載されたパージがすべて輸出されたときに上記の処理を行うこととする。</w:t>
      </w:r>
    </w:p>
    <w:p>
      <w:pPr>
        <w:ind w:left="420" w:leftChars="200" w:firstLine="210" w:firstLineChars="100"/>
      </w:pPr>
      <w:r>
        <w:rPr>
          <w:rFonts w:hint="eastAsia"/>
        </w:rPr>
        <w:t>なお、分割輸出されるパージについては、当該輸入許可書に再輸出された旨を裏書する等により処理して便宜当該パージの輸出許可書として申告者に交付する。</w:t>
      </w:r>
    </w:p>
    <w:p>
      <w:pPr>
        <w:ind w:left="420" w:leftChars="100" w:hanging="210" w:hangingChars="100"/>
      </w:pPr>
      <w:r>
        <w:rPr>
          <w:rFonts w:hint="eastAsia"/>
        </w:rPr>
        <w:t>⑹　再輸出の確認</w:t>
      </w:r>
    </w:p>
    <w:p>
      <w:pPr>
        <w:ind w:left="420" w:leftChars="200" w:firstLine="210" w:firstLineChars="100"/>
      </w:pPr>
      <w:r>
        <w:rPr>
          <w:rFonts w:hint="eastAsia"/>
        </w:rPr>
        <w:t>前記⑸により輸出許可書を交付したときは、当該輸出許可書を輸入許可税関に提示させ、再輸出の確認を受けさせること。輸出許可書の提示を受けた輸入許可税関は当該パージに係る輸入申告書（原本用）と対査確認等を行つた、輸入申告書（原本用）に輸出確認済の旨を記載して整押しておく。</w:t>
      </w:r>
    </w:p>
    <w:p>
      <w:pPr>
        <w:ind w:left="420" w:leftChars="100" w:hanging="210" w:hangingChars="100"/>
      </w:pPr>
      <w:r>
        <w:rPr>
          <w:rFonts w:hint="eastAsia"/>
        </w:rPr>
        <w:t>⑺　再輸出する附属品等の取扱い</w:t>
      </w:r>
    </w:p>
    <w:p>
      <w:pPr>
        <w:ind w:left="420" w:leftChars="200" w:firstLine="210" w:firstLineChars="100"/>
      </w:pPr>
      <w:r>
        <w:rPr>
          <w:rFonts w:hint="eastAsia"/>
        </w:rPr>
        <w:t>前記1の⑺によりパージと一体として取り扱つた附属品等については、輸出の際においてもパージと一体として取り扱い、輸出申告書への特掲は省略させる。</w:t>
      </w:r>
    </w:p>
    <w:p>
      <w:r>
        <w:br w:type="page"/>
      </w:r>
      <w:r>
        <w:rPr>
          <w:rFonts w:hint="eastAsia"/>
        </w:rPr>
        <w:t>別紙</w:t>
      </w:r>
    </w:p>
    <w:p/>
    <w:p>
      <w:pPr>
        <w:jc w:val="center"/>
        <w:rPr>
          <w:szCs w:val="21"/>
          <w:u w:val="words"/>
        </w:rPr>
      </w:pPr>
      <w:r>
        <w:rPr>
          <w:rFonts w:hint="eastAsia"/>
          <w:szCs w:val="21"/>
          <w:u w:val="words"/>
        </w:rPr>
        <w:t>パージ輸出入（納税）申告書</w:t>
      </w:r>
    </w:p>
    <w:p>
      <w:pPr>
        <w:jc w:val="center"/>
      </w:pPr>
      <w:r>
        <w:rPr>
          <w:rFonts w:hint="eastAsia"/>
        </w:rPr>
        <w:t>（再輸出免税明細書兼用）</w:t>
      </w:r>
    </w:p>
    <w:tbl>
      <w:tblPr>
        <w:tblStyle w:val="7"/>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
      <w:tblGrid>
        <w:gridCol w:w="2407"/>
        <w:gridCol w:w="2981"/>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c>
          <w:tcPr>
            <w:tcW w:w="2407" w:type="dxa"/>
            <w:vAlign w:val="top"/>
          </w:tcPr>
          <w:p>
            <w:pPr>
              <w:jc w:val="center"/>
            </w:pPr>
            <w:r>
              <w:rPr>
                <w:rFonts w:hint="eastAsia"/>
                <w:spacing w:val="630"/>
                <w:kern w:val="0"/>
                <w:fitText w:val="1680" w:id="0"/>
              </w:rPr>
              <w:t>事</w:t>
            </w:r>
            <w:r>
              <w:rPr>
                <w:rFonts w:hint="eastAsia"/>
                <w:kern w:val="0"/>
                <w:fitText w:val="1680" w:id="0"/>
              </w:rPr>
              <w:t>項</w:t>
            </w:r>
          </w:p>
        </w:tc>
        <w:tc>
          <w:tcPr>
            <w:tcW w:w="2981" w:type="dxa"/>
            <w:vAlign w:val="top"/>
          </w:tcPr>
          <w:p>
            <w:pPr>
              <w:jc w:val="center"/>
            </w:pPr>
            <w:r>
              <w:rPr>
                <w:rFonts w:hint="eastAsia"/>
                <w:spacing w:val="630"/>
                <w:kern w:val="0"/>
                <w:fitText w:val="1680" w:id="1"/>
              </w:rPr>
              <w:t>輸</w:t>
            </w:r>
            <w:r>
              <w:rPr>
                <w:rFonts w:hint="eastAsia"/>
                <w:kern w:val="0"/>
                <w:fitText w:val="1680" w:id="1"/>
              </w:rPr>
              <w:t>入</w:t>
            </w:r>
          </w:p>
        </w:tc>
        <w:tc>
          <w:tcPr>
            <w:tcW w:w="3106" w:type="dxa"/>
            <w:vAlign w:val="top"/>
          </w:tcPr>
          <w:p>
            <w:pPr>
              <w:jc w:val="center"/>
            </w:pPr>
            <w:r>
              <w:rPr>
                <w:rFonts w:hint="eastAsia"/>
                <w:spacing w:val="630"/>
                <w:kern w:val="0"/>
                <w:fitText w:val="1680" w:id="2"/>
              </w:rPr>
              <w:t>輸</w:t>
            </w:r>
            <w:r>
              <w:rPr>
                <w:rFonts w:hint="eastAsia"/>
                <w:kern w:val="0"/>
                <w:fitText w:val="1680" w:id="2"/>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c>
          <w:tcPr>
            <w:tcW w:w="2407" w:type="dxa"/>
            <w:vAlign w:val="top"/>
          </w:tcPr>
          <w:p>
            <w:pPr>
              <w:jc w:val="center"/>
            </w:pPr>
            <w:r>
              <w:rPr>
                <w:rFonts w:hint="eastAsia"/>
                <w:spacing w:val="135"/>
                <w:kern w:val="0"/>
                <w:fitText w:val="1680" w:id="3"/>
              </w:rPr>
              <w:t>申告番</w:t>
            </w:r>
            <w:r>
              <w:rPr>
                <w:rFonts w:hint="eastAsia"/>
                <w:spacing w:val="15"/>
                <w:kern w:val="0"/>
                <w:fitText w:val="1680" w:id="3"/>
              </w:rPr>
              <w:t>号</w:t>
            </w:r>
          </w:p>
        </w:tc>
        <w:tc>
          <w:tcPr>
            <w:tcW w:w="2981" w:type="dxa"/>
            <w:vAlign w:val="top"/>
          </w:tcPr>
          <w:p/>
        </w:tc>
        <w:tc>
          <w:tcPr>
            <w:tcW w:w="310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c>
          <w:tcPr>
            <w:tcW w:w="2407" w:type="dxa"/>
            <w:vAlign w:val="top"/>
          </w:tcPr>
          <w:p>
            <w:pPr>
              <w:jc w:val="center"/>
            </w:pPr>
            <w:r>
              <w:rPr>
                <w:rFonts w:hint="eastAsia"/>
                <w:spacing w:val="255"/>
                <w:kern w:val="0"/>
                <w:fitText w:val="1680" w:id="4"/>
              </w:rPr>
              <w:t>あて</w:t>
            </w:r>
            <w:r>
              <w:rPr>
                <w:rFonts w:hint="eastAsia"/>
                <w:spacing w:val="15"/>
                <w:kern w:val="0"/>
                <w:fitText w:val="1680" w:id="4"/>
              </w:rPr>
              <w:t>先</w:t>
            </w:r>
          </w:p>
        </w:tc>
        <w:tc>
          <w:tcPr>
            <w:tcW w:w="2981" w:type="dxa"/>
            <w:vAlign w:val="top"/>
          </w:tcPr>
          <w:p>
            <w:pPr>
              <w:jc w:val="right"/>
            </w:pPr>
            <w:r>
              <w:rPr>
                <w:rFonts w:hint="eastAsia"/>
              </w:rPr>
              <w:t>長殿</w:t>
            </w:r>
          </w:p>
        </w:tc>
        <w:tc>
          <w:tcPr>
            <w:tcW w:w="3106" w:type="dxa"/>
            <w:vAlign w:val="top"/>
          </w:tcPr>
          <w:p>
            <w:pPr>
              <w:jc w:val="right"/>
            </w:pPr>
            <w:r>
              <w:rPr>
                <w:rFonts w:hint="eastAsia"/>
              </w:rPr>
              <w:t>長殿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c>
          <w:tcPr>
            <w:tcW w:w="2407" w:type="dxa"/>
            <w:vAlign w:val="top"/>
          </w:tcPr>
          <w:p>
            <w:pPr>
              <w:jc w:val="center"/>
            </w:pPr>
            <w:r>
              <w:rPr>
                <w:rFonts w:hint="eastAsia"/>
                <w:spacing w:val="75"/>
                <w:kern w:val="0"/>
                <w:fitText w:val="1680" w:id="5"/>
              </w:rPr>
              <w:t>申告年月</w:t>
            </w:r>
            <w:r>
              <w:rPr>
                <w:rFonts w:hint="eastAsia"/>
                <w:spacing w:val="15"/>
                <w:kern w:val="0"/>
                <w:fitText w:val="1680" w:id="5"/>
              </w:rPr>
              <w:t>日</w:t>
            </w:r>
          </w:p>
        </w:tc>
        <w:tc>
          <w:tcPr>
            <w:tcW w:w="2981" w:type="dxa"/>
            <w:vAlign w:val="top"/>
          </w:tcPr>
          <w:p/>
        </w:tc>
        <w:tc>
          <w:tcPr>
            <w:tcW w:w="310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c>
          <w:tcPr>
            <w:tcW w:w="2407" w:type="dxa"/>
            <w:vAlign w:val="top"/>
          </w:tcPr>
          <w:p>
            <w:pPr>
              <w:jc w:val="center"/>
            </w:pPr>
            <w:r>
              <w:rPr>
                <w:rFonts w:hint="eastAsia"/>
                <w:spacing w:val="15"/>
                <w:kern w:val="0"/>
                <w:fitText w:val="1680" w:id="6"/>
              </w:rPr>
              <w:t>申告者住所氏名</w:t>
            </w:r>
          </w:p>
          <w:p>
            <w:pPr>
              <w:jc w:val="center"/>
            </w:pPr>
            <w:r>
              <w:rPr>
                <w:rFonts w:hint="eastAsia"/>
              </w:rPr>
              <w:t>(名称及び代表者の氏名)</w:t>
            </w:r>
          </w:p>
        </w:tc>
        <w:tc>
          <w:tcPr>
            <w:tcW w:w="2981" w:type="dxa"/>
            <w:vAlign w:val="top"/>
          </w:tcPr>
          <w:p/>
        </w:tc>
        <w:tc>
          <w:tcPr>
            <w:tcW w:w="310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c>
          <w:tcPr>
            <w:tcW w:w="2407" w:type="dxa"/>
            <w:vAlign w:val="top"/>
          </w:tcPr>
          <w:p>
            <w:pPr>
              <w:jc w:val="center"/>
            </w:pPr>
            <w:r>
              <w:rPr>
                <w:rFonts w:hint="eastAsia"/>
                <w:spacing w:val="15"/>
                <w:kern w:val="0"/>
                <w:fitText w:val="1680" w:id="7"/>
              </w:rPr>
              <w:t>代理人住所氏名</w:t>
            </w:r>
          </w:p>
        </w:tc>
        <w:tc>
          <w:tcPr>
            <w:tcW w:w="2981" w:type="dxa"/>
            <w:vAlign w:val="top"/>
          </w:tcPr>
          <w:p/>
        </w:tc>
        <w:tc>
          <w:tcPr>
            <w:tcW w:w="310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c>
          <w:tcPr>
            <w:tcW w:w="2407" w:type="dxa"/>
            <w:vAlign w:val="top"/>
          </w:tcPr>
          <w:p>
            <w:pPr>
              <w:jc w:val="center"/>
            </w:pPr>
            <w:r>
              <w:rPr>
                <w:rFonts w:hint="eastAsia"/>
                <w:spacing w:val="75"/>
                <w:kern w:val="0"/>
                <w:fitText w:val="1680" w:id="8"/>
              </w:rPr>
              <w:t>通関士記</w:t>
            </w:r>
            <w:r>
              <w:rPr>
                <w:rFonts w:hint="eastAsia"/>
                <w:spacing w:val="15"/>
                <w:kern w:val="0"/>
                <w:fitText w:val="1680" w:id="8"/>
              </w:rPr>
              <w:t>名</w:t>
            </w:r>
          </w:p>
        </w:tc>
        <w:tc>
          <w:tcPr>
            <w:tcW w:w="2981" w:type="dxa"/>
            <w:vAlign w:val="top"/>
          </w:tcPr>
          <w:p/>
        </w:tc>
        <w:tc>
          <w:tcPr>
            <w:tcW w:w="3106" w:type="dxa"/>
            <w:vAlign w:val="top"/>
          </w:tcPr>
          <w:p/>
        </w:tc>
      </w:tr>
    </w:tbl>
    <w:p/>
    <w:tbl>
      <w:tblPr>
        <w:tblStyle w:val="7"/>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49"/>
        <w:gridCol w:w="895"/>
        <w:gridCol w:w="1476"/>
        <w:gridCol w:w="160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49" w:type="dxa"/>
            <w:vAlign w:val="center"/>
          </w:tcPr>
          <w:p>
            <w:pPr>
              <w:jc w:val="center"/>
            </w:pPr>
            <w:r>
              <w:rPr>
                <w:rFonts w:hint="eastAsia"/>
              </w:rPr>
              <w:t>品名・記号・番号</w:t>
            </w:r>
          </w:p>
        </w:tc>
        <w:tc>
          <w:tcPr>
            <w:tcW w:w="895" w:type="dxa"/>
            <w:vAlign w:val="center"/>
          </w:tcPr>
          <w:p>
            <w:r>
              <w:rPr>
                <w:rFonts w:hint="eastAsia"/>
                <w:spacing w:val="105"/>
                <w:kern w:val="0"/>
                <w:fitText w:val="630" w:id="9"/>
              </w:rPr>
              <w:t>数</w:t>
            </w:r>
            <w:r>
              <w:rPr>
                <w:rFonts w:hint="eastAsia"/>
                <w:kern w:val="0"/>
                <w:fitText w:val="630" w:id="9"/>
              </w:rPr>
              <w:t>量</w:t>
            </w:r>
          </w:p>
        </w:tc>
        <w:tc>
          <w:tcPr>
            <w:tcW w:w="1476" w:type="dxa"/>
            <w:vAlign w:val="center"/>
          </w:tcPr>
          <w:p>
            <w:r>
              <w:rPr>
                <w:rFonts w:hint="eastAsia"/>
                <w:spacing w:val="60"/>
                <w:kern w:val="0"/>
                <w:fitText w:val="1260" w:id="10"/>
              </w:rPr>
              <w:t>申告価</w:t>
            </w:r>
            <w:r>
              <w:rPr>
                <w:rFonts w:hint="eastAsia"/>
                <w:spacing w:val="30"/>
                <w:kern w:val="0"/>
                <w:fitText w:val="1260" w:id="10"/>
              </w:rPr>
              <w:t>格</w:t>
            </w:r>
          </w:p>
        </w:tc>
        <w:tc>
          <w:tcPr>
            <w:tcW w:w="1608" w:type="dxa"/>
            <w:vAlign w:val="top"/>
          </w:tcPr>
          <w:p>
            <w:r>
              <w:rPr>
                <w:rFonts w:hint="eastAsia"/>
                <w:spacing w:val="60"/>
                <w:kern w:val="0"/>
                <w:fitText w:val="1260" w:id="11"/>
              </w:rPr>
              <w:t>税表番</w:t>
            </w:r>
            <w:r>
              <w:rPr>
                <w:rFonts w:hint="eastAsia"/>
                <w:spacing w:val="30"/>
                <w:kern w:val="0"/>
                <w:fitText w:val="1260" w:id="11"/>
              </w:rPr>
              <w:t>号</w:t>
            </w:r>
          </w:p>
          <w:p>
            <w:r>
              <w:rPr>
                <w:rFonts w:hint="eastAsia"/>
                <w:spacing w:val="420"/>
                <w:kern w:val="0"/>
                <w:fitText w:val="1260" w:id="12"/>
              </w:rPr>
              <w:t>税</w:t>
            </w:r>
            <w:r>
              <w:rPr>
                <w:rFonts w:hint="eastAsia"/>
                <w:kern w:val="0"/>
                <w:fitText w:val="1260" w:id="12"/>
              </w:rPr>
              <w:t>率</w:t>
            </w:r>
          </w:p>
        </w:tc>
        <w:tc>
          <w:tcPr>
            <w:tcW w:w="1566" w:type="dxa"/>
            <w:vAlign w:val="top"/>
          </w:tcPr>
          <w:p>
            <w:r>
              <w:rPr>
                <w:rFonts w:hint="eastAsia"/>
              </w:rPr>
              <w:t>免税適用条項</w:t>
            </w:r>
          </w:p>
          <w:p>
            <w:r>
              <w:rPr>
                <w:rFonts w:hint="eastAsia"/>
                <w:spacing w:val="150"/>
                <w:kern w:val="0"/>
                <w:fitText w:val="1260" w:id="13"/>
              </w:rPr>
              <w:t>関税</w:t>
            </w:r>
            <w:r>
              <w:rPr>
                <w:rFonts w:hint="eastAsia"/>
                <w:spacing w:val="15"/>
                <w:kern w:val="0"/>
                <w:fitText w:val="1260" w:id="13"/>
              </w:rPr>
              <w:t>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87" w:hRule="atLeast"/>
        </w:trPr>
        <w:tc>
          <w:tcPr>
            <w:tcW w:w="2949" w:type="dxa"/>
            <w:vAlign w:val="top"/>
          </w:tcPr>
          <w:p/>
        </w:tc>
        <w:tc>
          <w:tcPr>
            <w:tcW w:w="895" w:type="dxa"/>
            <w:vAlign w:val="top"/>
          </w:tcPr>
          <w:p/>
        </w:tc>
        <w:tc>
          <w:tcPr>
            <w:tcW w:w="1476" w:type="dxa"/>
            <w:vAlign w:val="top"/>
          </w:tcPr>
          <w:p/>
        </w:tc>
        <w:tc>
          <w:tcPr>
            <w:tcW w:w="1608" w:type="dxa"/>
            <w:vAlign w:val="top"/>
          </w:tcPr>
          <w:p/>
        </w:tc>
        <w:tc>
          <w:tcPr>
            <w:tcW w:w="1566" w:type="dxa"/>
            <w:vAlign w:val="top"/>
          </w:tcPr>
          <w:p/>
        </w:tc>
      </w:tr>
    </w:tbl>
    <w:p/>
    <w:tbl>
      <w:tblPr>
        <w:tblStyle w:val="7"/>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49"/>
        <w:gridCol w:w="540"/>
        <w:gridCol w:w="1557"/>
        <w:gridCol w:w="1278"/>
        <w:gridCol w:w="871"/>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89" w:type="dxa"/>
            <w:gridSpan w:val="2"/>
            <w:vMerge w:val="restart"/>
            <w:vAlign w:val="center"/>
          </w:tcPr>
          <w:p>
            <w:pPr>
              <w:jc w:val="center"/>
            </w:pPr>
            <w:r>
              <w:rPr>
                <w:rFonts w:hint="eastAsia"/>
              </w:rPr>
              <w:t>船舶の名称及び国籍</w:t>
            </w:r>
          </w:p>
        </w:tc>
        <w:tc>
          <w:tcPr>
            <w:tcW w:w="2835" w:type="dxa"/>
            <w:gridSpan w:val="2"/>
            <w:vAlign w:val="top"/>
          </w:tcPr>
          <w:p>
            <w:pPr>
              <w:jc w:val="center"/>
            </w:pPr>
            <w:r>
              <w:rPr>
                <w:rFonts w:hint="eastAsia"/>
              </w:rPr>
              <w:t>パージ等を積んでいた船舶</w:t>
            </w:r>
          </w:p>
        </w:tc>
        <w:tc>
          <w:tcPr>
            <w:tcW w:w="2970" w:type="dxa"/>
            <w:gridSpan w:val="2"/>
            <w:tcMar>
              <w:left w:w="57" w:type="dxa"/>
              <w:right w:w="57" w:type="dxa"/>
            </w:tcMar>
            <w:vAlign w:val="top"/>
          </w:tcPr>
          <w:p>
            <w:r>
              <w:rPr>
                <w:rFonts w:hint="eastAsia"/>
              </w:rPr>
              <w:t>パージ等を積もうとする船舶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89" w:type="dxa"/>
            <w:gridSpan w:val="2"/>
            <w:vMerge w:val="continue"/>
            <w:vAlign w:val="top"/>
          </w:tcPr>
          <w:p/>
        </w:tc>
        <w:tc>
          <w:tcPr>
            <w:tcW w:w="2835" w:type="dxa"/>
            <w:gridSpan w:val="2"/>
            <w:vAlign w:val="top"/>
          </w:tcPr>
          <w:p/>
        </w:tc>
        <w:tc>
          <w:tcPr>
            <w:tcW w:w="2970"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49" w:type="dxa"/>
            <w:vAlign w:val="top"/>
          </w:tcPr>
          <w:p>
            <w:pPr>
              <w:jc w:val="center"/>
            </w:pPr>
            <w:r>
              <w:rPr>
                <w:rFonts w:hint="eastAsia"/>
              </w:rPr>
              <w:t>輸出の予定時期</w:t>
            </w:r>
          </w:p>
        </w:tc>
        <w:tc>
          <w:tcPr>
            <w:tcW w:w="2097" w:type="dxa"/>
            <w:gridSpan w:val="2"/>
            <w:vAlign w:val="top"/>
          </w:tcPr>
          <w:p/>
        </w:tc>
        <w:tc>
          <w:tcPr>
            <w:tcW w:w="2149" w:type="dxa"/>
            <w:gridSpan w:val="2"/>
            <w:vAlign w:val="top"/>
          </w:tcPr>
          <w:p>
            <w:pPr>
              <w:jc w:val="center"/>
            </w:pPr>
            <w:r>
              <w:rPr>
                <w:rFonts w:hint="eastAsia"/>
                <w:spacing w:val="45"/>
                <w:kern w:val="0"/>
                <w:fitText w:val="1470" w:id="14"/>
              </w:rPr>
              <w:t>使用の場</w:t>
            </w:r>
            <w:r>
              <w:rPr>
                <w:rFonts w:hint="eastAsia"/>
                <w:spacing w:val="30"/>
                <w:kern w:val="0"/>
                <w:fitText w:val="1470" w:id="14"/>
              </w:rPr>
              <w:t>所</w:t>
            </w:r>
          </w:p>
        </w:tc>
        <w:tc>
          <w:tcPr>
            <w:tcW w:w="209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9" w:type="dxa"/>
            <w:vAlign w:val="top"/>
          </w:tcPr>
          <w:p>
            <w:pPr>
              <w:jc w:val="center"/>
            </w:pPr>
            <w:r>
              <w:rPr>
                <w:rFonts w:hint="eastAsia"/>
                <w:spacing w:val="45"/>
                <w:kern w:val="0"/>
                <w:fitText w:val="1470" w:id="15"/>
              </w:rPr>
              <w:t>予定積出</w:t>
            </w:r>
            <w:r>
              <w:rPr>
                <w:rFonts w:hint="eastAsia"/>
                <w:spacing w:val="30"/>
                <w:kern w:val="0"/>
                <w:fitText w:val="1470" w:id="15"/>
              </w:rPr>
              <w:t>地</w:t>
            </w:r>
          </w:p>
        </w:tc>
        <w:tc>
          <w:tcPr>
            <w:tcW w:w="2097" w:type="dxa"/>
            <w:gridSpan w:val="2"/>
            <w:vAlign w:val="top"/>
          </w:tcPr>
          <w:p/>
        </w:tc>
        <w:tc>
          <w:tcPr>
            <w:tcW w:w="2149" w:type="dxa"/>
            <w:gridSpan w:val="2"/>
            <w:vAlign w:val="top"/>
          </w:tcPr>
          <w:p>
            <w:pPr>
              <w:jc w:val="center"/>
            </w:pPr>
            <w:r>
              <w:rPr>
                <w:rFonts w:hint="eastAsia"/>
                <w:spacing w:val="45"/>
                <w:kern w:val="0"/>
                <w:fitText w:val="1470" w:id="16"/>
              </w:rPr>
              <w:t>輸入の目</w:t>
            </w:r>
            <w:r>
              <w:rPr>
                <w:rFonts w:hint="eastAsia"/>
                <w:spacing w:val="30"/>
                <w:kern w:val="0"/>
                <w:fitText w:val="1470" w:id="16"/>
              </w:rPr>
              <w:t>的</w:t>
            </w:r>
          </w:p>
        </w:tc>
        <w:tc>
          <w:tcPr>
            <w:tcW w:w="2099" w:type="dxa"/>
            <w:vAlign w:val="top"/>
          </w:tcPr>
          <w:p/>
        </w:tc>
      </w:tr>
    </w:tbl>
    <w:p>
      <w:r>
        <w:rPr>
          <w:rFonts w:hint="eastAsia"/>
        </w:rPr>
        <w:t>輸入許可年月日</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rPr>
        <w:tab/>
      </w:r>
      <w:r>
        <w:rPr>
          <w:rFonts w:hint="eastAsia"/>
        </w:rPr>
        <w:tab/>
      </w:r>
      <w:r>
        <w:rPr>
          <w:rFonts w:hint="eastAsia"/>
        </w:rPr>
        <w:t>輸出許可年月日</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tbl>
      <w:tblPr>
        <w:tblStyle w:val="7"/>
        <w:tblW w:w="6660" w:type="dxa"/>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96"/>
        <w:gridCol w:w="3177"/>
        <w:gridCol w:w="596"/>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1546" w:hRule="atLeast"/>
        </w:trPr>
        <w:tc>
          <w:tcPr>
            <w:tcW w:w="596" w:type="dxa"/>
            <w:tcBorders>
              <w:right w:val="dotted" w:color="auto" w:sz="4" w:space="0"/>
            </w:tcBorders>
            <w:textDirection w:val="tbRlV"/>
            <w:vAlign w:val="center"/>
          </w:tcPr>
          <w:p>
            <w:pPr>
              <w:ind w:left="113" w:right="113"/>
              <w:jc w:val="center"/>
            </w:pPr>
            <w:r>
              <w:rPr>
                <w:rFonts w:hint="eastAsia"/>
              </w:rPr>
              <w:t>輸入許可印</w:t>
            </w:r>
          </w:p>
        </w:tc>
        <w:tc>
          <w:tcPr>
            <w:tcW w:w="3177" w:type="dxa"/>
            <w:tcBorders>
              <w:left w:val="dotted" w:color="auto" w:sz="4" w:space="0"/>
            </w:tcBorders>
            <w:vAlign w:val="center"/>
          </w:tcPr>
          <w:p>
            <w:r>
              <w:rPr>
                <w:rFonts w:hint="eastAsia" w:ascii="Century" w:hAnsi="Century" w:eastAsia="ＭＳ 明朝" w:cs="Times New Roman"/>
                <w:kern w:val="2"/>
                <w:sz w:val="21"/>
                <w:szCs w:val="24"/>
                <w:lang w:val="en-US" w:eastAsia="ja-JP" w:bidi="ar-SA"/>
              </w:rPr>
              <w:pict>
                <v:shape id="Oval 2" o:spid="_x0000_s1026" type="#_x0000_t3" style="position:absolute;left:0;margin-left:0.8pt;margin-top:6pt;height:63pt;width:63pt;rotation:0f;z-index:251658240;" o:ole="f" fillcolor="#FFFFFF" filled="t" o:preferrelative="t" stroked="t" coordorigin="0,0" coordsize="21600,21600">
                  <v:stroke color="#000000" color2="#FFFFFF" joinstyle="round"/>
                  <v:imagedata gain="65536f" blacklevel="0f" gamma="0"/>
                  <o:lock v:ext="edit" position="f" selection="f" grouping="f" rotation="f" cropping="f" text="f" aspectratio="f"/>
                  <v:textbox inset="5.85pt,0.70pt,5.85pt,0.70pt"/>
                </v:shape>
              </w:pict>
            </w:r>
          </w:p>
        </w:tc>
        <w:tc>
          <w:tcPr>
            <w:tcW w:w="596" w:type="dxa"/>
            <w:tcBorders>
              <w:right w:val="dotted" w:color="auto" w:sz="4" w:space="0"/>
            </w:tcBorders>
            <w:textDirection w:val="tbRlV"/>
            <w:vAlign w:val="center"/>
          </w:tcPr>
          <w:p>
            <w:pPr>
              <w:ind w:left="113" w:right="113"/>
              <w:jc w:val="center"/>
            </w:pPr>
            <w:r>
              <w:rPr>
                <w:rFonts w:hint="eastAsia"/>
              </w:rPr>
              <w:t>輸出許可印</w:t>
            </w:r>
          </w:p>
        </w:tc>
        <w:tc>
          <w:tcPr>
            <w:tcW w:w="2291" w:type="dxa"/>
            <w:tcBorders>
              <w:left w:val="dotted" w:color="auto" w:sz="4" w:space="0"/>
            </w:tcBorders>
            <w:vAlign w:val="center"/>
          </w:tcPr>
          <w:p>
            <w:r>
              <w:rPr>
                <w:rFonts w:hint="eastAsia" w:ascii="Century" w:hAnsi="Century" w:eastAsia="ＭＳ 明朝" w:cs="Times New Roman"/>
                <w:kern w:val="2"/>
                <w:sz w:val="21"/>
                <w:szCs w:val="24"/>
                <w:lang w:val="en-US" w:eastAsia="ja-JP" w:bidi="ar-SA"/>
              </w:rPr>
              <w:pict>
                <v:shape id="Oval 3" o:spid="_x0000_s1027" type="#_x0000_t3" style="position:absolute;left:0;margin-left:1.15pt;margin-top:6pt;height:63pt;width:63pt;rotation:0f;z-index:251659264;" o:ole="f" fillcolor="#FFFFFF" filled="t" o:preferrelative="t" stroked="t" coordorigin="0,0" coordsize="21600,21600">
                  <v:stroke color="#000000" color2="#FFFFFF" joinstyle="round"/>
                  <v:imagedata gain="65536f" blacklevel="0f" gamma="0"/>
                  <o:lock v:ext="edit" position="f" selection="f" grouping="f" rotation="f" cropping="f" text="f" aspectratio="f"/>
                  <v:textbox inset="5.85pt,0.70pt,5.85pt,0.70pt"/>
                </v:shape>
              </w:pict>
            </w:r>
          </w:p>
        </w:tc>
      </w:tr>
    </w:tbl>
    <w:p>
      <w:pPr>
        <w:ind w:left="105" w:leftChars="50" w:right="105" w:rightChars="50"/>
        <w:rPr>
          <w:sz w:val="22"/>
          <w:szCs w:val="22"/>
        </w:rPr>
      </w:pPr>
      <w:r>
        <w:rPr>
          <w:rFonts w:hint="eastAsia"/>
          <w:sz w:val="22"/>
          <w:szCs w:val="22"/>
        </w:rPr>
        <w:t>（注）　この申告書は2通提出すること。</w:t>
      </w:r>
    </w:p>
    <w:p>
      <w:pPr>
        <w:ind w:left="1050" w:leftChars="500" w:right="105" w:rightChars="50"/>
        <w:rPr>
          <w:sz w:val="22"/>
          <w:szCs w:val="22"/>
        </w:rPr>
      </w:pPr>
      <w:r>
        <w:rPr>
          <w:rFonts w:hint="eastAsia"/>
          <w:sz w:val="22"/>
          <w:szCs w:val="22"/>
        </w:rPr>
        <w:t>｢不服申立てについて」この申告に基づく処分について不服があるときは、その処分があったことを知った日の翌日から起算して３月以内に税関長に対して再調査の請求又は財務大臣に対して審査請求をすることができます。</w:t>
      </w:r>
    </w:p>
    <w:p>
      <w:pPr>
        <w:ind w:left="1260" w:leftChars="600" w:right="105" w:rightChars="50"/>
        <w:jc w:val="right"/>
        <w:rPr>
          <w:sz w:val="22"/>
          <w:szCs w:val="22"/>
        </w:rPr>
      </w:pPr>
      <w:r>
        <w:rPr>
          <w:rFonts w:hint="eastAsia"/>
          <w:sz w:val="22"/>
          <w:szCs w:val="22"/>
        </w:rPr>
        <w:t>（規格　A4）</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C3371"/>
    <w:rsid w:val="000279D0"/>
    <w:rsid w:val="00030752"/>
    <w:rsid w:val="001005DD"/>
    <w:rsid w:val="00134731"/>
    <w:rsid w:val="00165BD4"/>
    <w:rsid w:val="001C1373"/>
    <w:rsid w:val="001C4142"/>
    <w:rsid w:val="00223F36"/>
    <w:rsid w:val="002559CA"/>
    <w:rsid w:val="00294054"/>
    <w:rsid w:val="002A07F9"/>
    <w:rsid w:val="002A5E4A"/>
    <w:rsid w:val="002A6677"/>
    <w:rsid w:val="00321414"/>
    <w:rsid w:val="00392A17"/>
    <w:rsid w:val="003F20C1"/>
    <w:rsid w:val="00406B93"/>
    <w:rsid w:val="004860E1"/>
    <w:rsid w:val="00525431"/>
    <w:rsid w:val="005A6960"/>
    <w:rsid w:val="00632E87"/>
    <w:rsid w:val="00744351"/>
    <w:rsid w:val="008620DE"/>
    <w:rsid w:val="008C3546"/>
    <w:rsid w:val="00902CF3"/>
    <w:rsid w:val="00985A5B"/>
    <w:rsid w:val="009C3371"/>
    <w:rsid w:val="00A33F7C"/>
    <w:rsid w:val="00A57935"/>
    <w:rsid w:val="00A61EBC"/>
    <w:rsid w:val="00A74F2F"/>
    <w:rsid w:val="00AD6659"/>
    <w:rsid w:val="00B379F8"/>
    <w:rsid w:val="00BA27E7"/>
    <w:rsid w:val="00BC2853"/>
    <w:rsid w:val="00C41773"/>
    <w:rsid w:val="00C525E4"/>
    <w:rsid w:val="00C72404"/>
    <w:rsid w:val="00CB2885"/>
    <w:rsid w:val="00CD4F3E"/>
    <w:rsid w:val="00D301C2"/>
    <w:rsid w:val="00EB426E"/>
    <w:rsid w:val="00FD6FA3"/>
    <w:rsid w:val="71F538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252"/>
        <w:tab w:val="right" w:pos="8504"/>
      </w:tabs>
      <w:snapToGrid w:val="0"/>
    </w:pPr>
  </w:style>
  <w:style w:type="paragraph" w:styleId="3">
    <w:name w:val="footnote text"/>
    <w:basedOn w:val="1"/>
    <w:semiHidden/>
    <w:uiPriority w:val="0"/>
    <w:pPr>
      <w:snapToGrid w:val="0"/>
      <w:jc w:val="left"/>
    </w:pPr>
  </w:style>
  <w:style w:type="paragraph" w:styleId="4">
    <w:name w:val="header"/>
    <w:basedOn w:val="1"/>
    <w:link w:val="9"/>
    <w:unhideWhenUsed/>
    <w:uiPriority w:val="99"/>
    <w:pPr>
      <w:tabs>
        <w:tab w:val="center" w:pos="4252"/>
        <w:tab w:val="right" w:pos="8504"/>
      </w:tabs>
      <w:snapToGrid w:val="0"/>
    </w:pPr>
  </w:style>
  <w:style w:type="character" w:styleId="6">
    <w:name w:val="footnote reference"/>
    <w:semiHidden/>
    <w:uiPriority w:val="0"/>
    <w:rPr>
      <w:vertAlign w:val="superscript"/>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ヘッダー (文字)"/>
    <w:link w:val="4"/>
    <w:uiPriority w:val="99"/>
    <w:rPr>
      <w:kern w:val="2"/>
      <w:sz w:val="21"/>
      <w:szCs w:val="24"/>
    </w:rPr>
  </w:style>
  <w:style w:type="character" w:customStyle="1" w:styleId="10">
    <w:name w:val="フッター (文字)"/>
    <w:link w:val="2"/>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5</Pages>
  <Words>572</Words>
  <Characters>3265</Characters>
  <Lines>27</Lines>
  <Paragraphs>7</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2021-04-05T00:45:00Z</dcterms:created>
  <dc:creator>横浜税関</dc:creator>
  <cp:lastModifiedBy>恒久</cp:lastModifiedBy>
  <dcterms:modified xsi:type="dcterms:W3CDTF">2021-08-29T00:51:23Z</dcterms:modified>
  <dc:title>ラッシュ船に積載されて輸出入されるバージの通関手続について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