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hAnsi="ＭＳ 明朝"/>
          <w:szCs w:val="21"/>
        </w:rPr>
      </w:pPr>
      <w:bookmarkStart w:id="0" w:name="_GoBack"/>
      <w:bookmarkEnd w:id="0"/>
      <w:r>
        <w:rPr>
          <w:rFonts w:hint="eastAsia" w:hAnsi="ＭＳ 明朝"/>
          <w:szCs w:val="21"/>
        </w:rPr>
        <w:t>輸出通関事務処理体制について</w:t>
      </w:r>
    </w:p>
    <w:p>
      <w:pPr>
        <w:pStyle w:val="3"/>
        <w:rPr>
          <w:rFonts w:hAnsi="ＭＳ 明朝"/>
          <w:szCs w:val="21"/>
        </w:rPr>
      </w:pPr>
    </w:p>
    <w:p>
      <w:pPr>
        <w:pStyle w:val="3"/>
        <w:rPr>
          <w:rFonts w:hAnsi="ＭＳ 明朝"/>
          <w:szCs w:val="21"/>
        </w:rPr>
      </w:pPr>
    </w:p>
    <w:p>
      <w:pPr>
        <w:pStyle w:val="3"/>
        <w:ind w:firstLine="851"/>
        <w:rPr>
          <w:rFonts w:hAnsi="ＭＳ 明朝"/>
          <w:szCs w:val="21"/>
        </w:rPr>
      </w:pPr>
      <w:r>
        <w:rPr>
          <w:rFonts w:hint="eastAsia" w:hAnsi="ＭＳ 明朝"/>
          <w:szCs w:val="21"/>
        </w:rPr>
        <w:t>平成12年3月31日蔵関第241号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平成13年1月6日財関第4号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平成14年3月31日財関第253号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平成15年3月6日財関第228号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平成16年3月26日財関第326号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平成18年6月30日財関第794号</w:t>
      </w:r>
    </w:p>
    <w:p>
      <w:pPr>
        <w:rPr>
          <w:rFonts w:ascii="ＭＳ 明朝" w:hAnsi="ＭＳ 明朝"/>
          <w:sz w:val="21"/>
          <w:szCs w:val="21"/>
        </w:rPr>
      </w:pPr>
      <w:r>
        <w:rPr>
          <w:rFonts w:hint="eastAsia" w:ascii="ＭＳ 明朝" w:hAnsi="ＭＳ 明朝"/>
          <w:sz w:val="21"/>
          <w:szCs w:val="21"/>
        </w:rPr>
        <w:t>改正　</w:t>
      </w:r>
      <w:r>
        <w:rPr>
          <w:rFonts w:hint="eastAsia" w:ascii="ＭＳ 明朝" w:hAnsi="ＭＳ 明朝"/>
          <w:sz w:val="21"/>
          <w:szCs w:val="21"/>
        </w:rPr>
        <w:tab/>
      </w:r>
      <w:r>
        <w:rPr>
          <w:rFonts w:hint="eastAsia" w:ascii="ＭＳ 明朝" w:hAnsi="ＭＳ 明朝"/>
          <w:sz w:val="21"/>
          <w:szCs w:val="21"/>
        </w:rPr>
        <w:t>平成19年3月31日蔵関第420号</w:t>
      </w:r>
    </w:p>
    <w:p>
      <w:pPr>
        <w:rPr>
          <w:rFonts w:ascii="ＭＳ 明朝" w:hAnsi="ＭＳ 明朝"/>
          <w:sz w:val="21"/>
          <w:szCs w:val="21"/>
        </w:rPr>
      </w:pPr>
      <w:r>
        <w:rPr>
          <w:rFonts w:hint="eastAsia" w:ascii="ＭＳ 明朝" w:hAnsi="ＭＳ 明朝"/>
          <w:sz w:val="21"/>
          <w:szCs w:val="21"/>
        </w:rPr>
        <w:t>改正　</w:t>
      </w:r>
      <w:r>
        <w:rPr>
          <w:rFonts w:hint="eastAsia" w:ascii="ＭＳ 明朝" w:hAnsi="ＭＳ 明朝"/>
          <w:sz w:val="21"/>
          <w:szCs w:val="21"/>
        </w:rPr>
        <w:tab/>
      </w:r>
      <w:r>
        <w:rPr>
          <w:rFonts w:hint="eastAsia" w:ascii="ＭＳ 明朝" w:hAnsi="ＭＳ 明朝"/>
          <w:sz w:val="21"/>
          <w:szCs w:val="21"/>
        </w:rPr>
        <w:t>平成19年6月29日蔵関第893号</w:t>
      </w:r>
    </w:p>
    <w:p>
      <w:pPr>
        <w:rPr>
          <w:rFonts w:ascii="ＭＳ 明朝" w:hAnsi="ＭＳ 明朝"/>
          <w:sz w:val="21"/>
          <w:szCs w:val="21"/>
        </w:rPr>
      </w:pPr>
      <w:r>
        <w:rPr>
          <w:rFonts w:hint="eastAsia" w:ascii="ＭＳ 明朝" w:hAnsi="ＭＳ 明朝"/>
          <w:sz w:val="21"/>
          <w:szCs w:val="21"/>
        </w:rPr>
        <w:t>改正　</w:t>
      </w:r>
      <w:r>
        <w:rPr>
          <w:rFonts w:hint="eastAsia" w:ascii="ＭＳ 明朝" w:hAnsi="ＭＳ 明朝"/>
          <w:sz w:val="21"/>
          <w:szCs w:val="21"/>
        </w:rPr>
        <w:tab/>
      </w:r>
      <w:r>
        <w:rPr>
          <w:rFonts w:hint="eastAsia" w:ascii="ＭＳ 明朝" w:hAnsi="ＭＳ 明朝"/>
          <w:sz w:val="21"/>
          <w:szCs w:val="21"/>
        </w:rPr>
        <w:t>平成20年12月2日蔵関第1413号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平成22年2月17日財関第176号</w:t>
      </w:r>
    </w:p>
    <w:p>
      <w:pPr>
        <w:rPr>
          <w:rFonts w:ascii="ＭＳ 明朝" w:hAnsi="ＭＳ 明朝"/>
          <w:sz w:val="21"/>
          <w:szCs w:val="21"/>
        </w:rPr>
      </w:pPr>
      <w:r>
        <w:rPr>
          <w:rFonts w:hint="eastAsia" w:ascii="ＭＳ 明朝" w:hAnsi="ＭＳ 明朝"/>
          <w:sz w:val="21"/>
          <w:szCs w:val="21"/>
        </w:rPr>
        <w:t>改正</w:t>
      </w:r>
      <w:r>
        <w:rPr>
          <w:rFonts w:hint="eastAsia" w:ascii="ＭＳ 明朝" w:hAnsi="ＭＳ 明朝"/>
          <w:sz w:val="21"/>
          <w:szCs w:val="21"/>
        </w:rPr>
        <w:tab/>
      </w:r>
      <w:r>
        <w:rPr>
          <w:rFonts w:hint="eastAsia" w:ascii="ＭＳ 明朝" w:hAnsi="ＭＳ 明朝"/>
          <w:sz w:val="21"/>
          <w:szCs w:val="21"/>
        </w:rPr>
        <w:t>平成24年6月15日財関第615号</w:t>
      </w:r>
    </w:p>
    <w:p>
      <w:pPr>
        <w:pStyle w:val="3"/>
        <w:rPr>
          <w:rFonts w:hAnsi="ＭＳ 明朝"/>
          <w:szCs w:val="21"/>
        </w:rPr>
      </w:pPr>
    </w:p>
    <w:p>
      <w:pPr>
        <w:pStyle w:val="3"/>
        <w:ind w:left="2" w:firstLine="200"/>
        <w:rPr>
          <w:rFonts w:hAnsi="ＭＳ 明朝"/>
          <w:szCs w:val="21"/>
        </w:rPr>
      </w:pPr>
      <w:r>
        <w:rPr>
          <w:rFonts w:hint="eastAsia" w:hAnsi="ＭＳ 明朝"/>
          <w:szCs w:val="21"/>
        </w:rPr>
        <w:t>輸出通関事務の基本的な処理体制を下記のとおり定め、平成12年4月1日から実施することとしたので了知されたい。</w:t>
      </w:r>
    </w:p>
    <w:p>
      <w:pPr>
        <w:pStyle w:val="3"/>
        <w:rPr>
          <w:rFonts w:hAnsi="ＭＳ 明朝"/>
          <w:szCs w:val="21"/>
        </w:rPr>
      </w:pPr>
    </w:p>
    <w:p>
      <w:pPr>
        <w:pStyle w:val="3"/>
        <w:jc w:val="center"/>
        <w:rPr>
          <w:rFonts w:hAnsi="ＭＳ 明朝"/>
          <w:szCs w:val="21"/>
        </w:rPr>
      </w:pPr>
      <w:r>
        <w:rPr>
          <w:rFonts w:hint="eastAsia" w:hAnsi="ＭＳ 明朝"/>
          <w:szCs w:val="21"/>
        </w:rPr>
        <w:t>記</w:t>
      </w:r>
    </w:p>
    <w:p>
      <w:pPr>
        <w:pStyle w:val="3"/>
        <w:ind w:left="210" w:hanging="210" w:hangingChars="100"/>
        <w:rPr>
          <w:rFonts w:hAnsi="ＭＳ 明朝"/>
          <w:szCs w:val="21"/>
        </w:rPr>
      </w:pPr>
      <w:r>
        <w:rPr>
          <w:rFonts w:hint="eastAsia" w:hAnsi="ＭＳ 明朝"/>
          <w:szCs w:val="21"/>
        </w:rPr>
        <w:t>第１　基本的な審査方法等</w:t>
      </w:r>
    </w:p>
    <w:p>
      <w:pPr>
        <w:pStyle w:val="3"/>
        <w:ind w:left="450" w:leftChars="100" w:hanging="210" w:hangingChars="100"/>
        <w:rPr>
          <w:rFonts w:hAnsi="ＭＳ 明朝"/>
          <w:szCs w:val="21"/>
        </w:rPr>
      </w:pPr>
      <w:r>
        <w:rPr>
          <w:rFonts w:hint="eastAsia" w:hAnsi="ＭＳ 明朝"/>
          <w:szCs w:val="21"/>
        </w:rPr>
        <w:t>Ⅰ　審査方式</w:t>
      </w:r>
    </w:p>
    <w:p>
      <w:pPr>
        <w:pStyle w:val="3"/>
        <w:ind w:left="480" w:leftChars="200" w:firstLine="210" w:firstLineChars="100"/>
        <w:rPr>
          <w:rFonts w:hAnsi="ＭＳ 明朝"/>
          <w:szCs w:val="21"/>
        </w:rPr>
      </w:pPr>
      <w:r>
        <w:rPr>
          <w:rFonts w:hint="eastAsia" w:hAnsi="ＭＳ 明朝"/>
          <w:szCs w:val="21"/>
        </w:rPr>
        <w:t>輸出申告書（積戻し申告書を含む。以下「申告書」という。）の審査は、「重点審査」、「一般審査」及び「簡易審査」の３方式とする。</w:t>
      </w:r>
    </w:p>
    <w:p>
      <w:pPr>
        <w:pStyle w:val="3"/>
        <w:ind w:left="450" w:leftChars="100" w:hanging="210" w:hangingChars="100"/>
        <w:rPr>
          <w:rFonts w:hAnsi="ＭＳ 明朝"/>
          <w:szCs w:val="21"/>
        </w:rPr>
      </w:pPr>
      <w:r>
        <w:rPr>
          <w:rFonts w:hint="eastAsia" w:hAnsi="ＭＳ 明朝"/>
          <w:szCs w:val="21"/>
        </w:rPr>
        <w:t>Ⅱ　受付管理事務</w:t>
      </w:r>
    </w:p>
    <w:p>
      <w:pPr>
        <w:pStyle w:val="3"/>
        <w:ind w:left="690" w:leftChars="200" w:hanging="210" w:hangingChars="100"/>
        <w:rPr>
          <w:rFonts w:hAnsi="ＭＳ 明朝"/>
          <w:szCs w:val="21"/>
        </w:rPr>
      </w:pPr>
      <w:r>
        <w:rPr>
          <w:rFonts w:hint="eastAsia" w:hAnsi="ＭＳ 明朝"/>
          <w:szCs w:val="21"/>
        </w:rPr>
        <w:t>１　申告書及び仕入書その他の申告の内容を確認するために必要な書類が担当部門に提出された際には、統括審査官（統括審査官が置かれていない官署にあっては、これに代わる者としてあらかじめ指定された者。）又はその命を受けた者（以下「統括官等」という。）は、申告書に記載すべき事項がすべて記載されているか否か及び申告書の必要部数並びに添付書類の有無を確認の上、次の事務を行う。</w:t>
      </w:r>
    </w:p>
    <w:p>
      <w:pPr>
        <w:pStyle w:val="3"/>
        <w:ind w:left="930" w:leftChars="300" w:hanging="210" w:hangingChars="100"/>
        <w:rPr>
          <w:rFonts w:hAnsi="ＭＳ 明朝"/>
          <w:szCs w:val="21"/>
        </w:rPr>
      </w:pPr>
      <w:r>
        <w:rPr>
          <w:rFonts w:hint="eastAsia" w:hAnsi="ＭＳ 明朝"/>
          <w:szCs w:val="21"/>
        </w:rPr>
        <w:t>イ　重点審査扱い、一般審査扱い又は簡易審査扱いの決定</w:t>
      </w:r>
    </w:p>
    <w:p>
      <w:pPr>
        <w:pStyle w:val="3"/>
        <w:ind w:left="930" w:leftChars="300" w:hanging="210" w:hangingChars="100"/>
        <w:rPr>
          <w:rFonts w:hAnsi="ＭＳ 明朝"/>
          <w:szCs w:val="21"/>
        </w:rPr>
      </w:pPr>
      <w:r>
        <w:rPr>
          <w:rFonts w:hint="eastAsia" w:hAnsi="ＭＳ 明朝"/>
          <w:szCs w:val="21"/>
        </w:rPr>
        <w:t>ロ　貨物確認（他法令の該非の確認、統計品目分類、知的財産侵害物品の認定等輸出申告についての適正な審査を行うため、輸出申告に係る貨物について行う確認をいう。以下同じ。）の要否の決定</w:t>
      </w:r>
    </w:p>
    <w:p>
      <w:pPr>
        <w:pStyle w:val="3"/>
        <w:ind w:left="930" w:leftChars="300" w:hanging="210" w:hangingChars="100"/>
        <w:rPr>
          <w:rFonts w:hAnsi="ＭＳ 明朝"/>
          <w:szCs w:val="21"/>
        </w:rPr>
      </w:pPr>
      <w:r>
        <w:rPr>
          <w:rFonts w:hint="eastAsia" w:hAnsi="ＭＳ 明朝"/>
          <w:szCs w:val="21"/>
        </w:rPr>
        <w:t>ハ　審査（貨物確認）ポイントの指示</w:t>
      </w:r>
    </w:p>
    <w:p>
      <w:pPr>
        <w:pStyle w:val="3"/>
        <w:ind w:left="930" w:leftChars="300" w:hanging="210" w:hangingChars="100"/>
        <w:rPr>
          <w:rFonts w:hAnsi="ＭＳ 明朝"/>
          <w:szCs w:val="21"/>
        </w:rPr>
      </w:pPr>
      <w:r>
        <w:rPr>
          <w:rFonts w:hint="eastAsia" w:hAnsi="ＭＳ 明朝"/>
          <w:szCs w:val="21"/>
        </w:rPr>
        <w:t>ニ　各審査担当者への申告書等の配付</w:t>
      </w:r>
    </w:p>
    <w:p>
      <w:pPr>
        <w:pStyle w:val="3"/>
        <w:ind w:left="690" w:leftChars="200" w:hanging="210" w:hangingChars="100"/>
        <w:rPr>
          <w:rFonts w:hAnsi="ＭＳ 明朝"/>
          <w:szCs w:val="21"/>
        </w:rPr>
      </w:pPr>
      <w:r>
        <w:rPr>
          <w:rFonts w:hint="eastAsia" w:hAnsi="ＭＳ 明朝"/>
          <w:szCs w:val="21"/>
        </w:rPr>
        <w:t>２　受付管理事務のうち、申告書に記載すべき事項がすべて記載されているか否か及び申告書の必要部数並びに必要な添付書類の有無等形式要件の確認は、税関の事情により同一職員が行っても差し支えない。</w:t>
      </w:r>
    </w:p>
    <w:p>
      <w:pPr>
        <w:pStyle w:val="3"/>
        <w:ind w:left="450" w:leftChars="100" w:hanging="210" w:hangingChars="100"/>
        <w:rPr>
          <w:rFonts w:hAnsi="ＭＳ 明朝"/>
          <w:szCs w:val="21"/>
        </w:rPr>
      </w:pPr>
      <w:r>
        <w:rPr>
          <w:rFonts w:hint="eastAsia" w:hAnsi="ＭＳ 明朝"/>
          <w:szCs w:val="21"/>
        </w:rPr>
        <w:t>Ⅲ　審査事務</w:t>
      </w:r>
    </w:p>
    <w:p>
      <w:pPr>
        <w:pStyle w:val="3"/>
        <w:ind w:left="690" w:leftChars="200" w:hanging="210" w:hangingChars="100"/>
        <w:rPr>
          <w:rFonts w:hAnsi="ＭＳ 明朝"/>
          <w:szCs w:val="21"/>
        </w:rPr>
      </w:pPr>
      <w:r>
        <w:rPr>
          <w:rFonts w:hint="eastAsia" w:hAnsi="ＭＳ 明朝"/>
          <w:szCs w:val="21"/>
        </w:rPr>
        <w:t>１　審査方法</w:t>
      </w:r>
    </w:p>
    <w:p>
      <w:pPr>
        <w:pStyle w:val="3"/>
        <w:ind w:left="930" w:leftChars="300" w:hanging="210" w:hangingChars="100"/>
        <w:rPr>
          <w:rFonts w:hAnsi="ＭＳ 明朝"/>
          <w:szCs w:val="21"/>
        </w:rPr>
      </w:pPr>
      <w:r>
        <w:rPr>
          <w:rFonts w:hint="eastAsia" w:hAnsi="ＭＳ 明朝"/>
          <w:szCs w:val="21"/>
        </w:rPr>
        <w:t>⑴ 申告書等の配付を受けた審査担当者は、統括官等が指示したポイントを踏まえるとともに、必要申告事項並びに必要添付書類の有無及びその有効期限等に関する審査を行った後、関税等の減免税条件の具備、数量・価格等に関する疑義の発見と解明を中心として審査を行う。</w:t>
      </w:r>
    </w:p>
    <w:p>
      <w:pPr>
        <w:pStyle w:val="3"/>
        <w:ind w:left="930" w:leftChars="300" w:hanging="210" w:hangingChars="100"/>
        <w:rPr>
          <w:rFonts w:hAnsi="ＭＳ 明朝"/>
          <w:szCs w:val="21"/>
        </w:rPr>
      </w:pPr>
      <w:r>
        <w:rPr>
          <w:rFonts w:hint="eastAsia" w:hAnsi="ＭＳ 明朝"/>
          <w:szCs w:val="21"/>
        </w:rPr>
        <w:t>⑵　輸出貿易管理令（昭和24 年政令第378 号。以下「輸出令」という。）別表第１及び別表第２の該非判定が困難なものについては、統括官等を通じて特別審査官に該非の判定を依頼することとし、特別審査官においても該非の判定が困難なものについては、原則として、特別審査官が経済産業省に該非の判定を照会する。</w:t>
      </w:r>
    </w:p>
    <w:p>
      <w:pPr>
        <w:pStyle w:val="3"/>
        <w:ind w:left="930" w:leftChars="300" w:hanging="210" w:hangingChars="100"/>
        <w:rPr>
          <w:rFonts w:hAnsi="ＭＳ 明朝"/>
          <w:szCs w:val="21"/>
        </w:rPr>
      </w:pPr>
      <w:r>
        <w:rPr>
          <w:rFonts w:hint="eastAsia" w:hAnsi="ＭＳ 明朝"/>
          <w:szCs w:val="21"/>
        </w:rPr>
        <w:t>⑶　統括官等が各種情報等を総合的に勘案し抽出した申告及び輸出令別表第１又は第２の該非に疑義がある貨物に係る申告は重点審査とし、前記及びに準じて審査を行うほか、必要に応じ通関情報総合判定システム、各種資料・情報を活用し深度ある審査を行うものとする。</w:t>
      </w:r>
    </w:p>
    <w:p>
      <w:pPr>
        <w:pStyle w:val="3"/>
        <w:ind w:left="540" w:hanging="200"/>
        <w:rPr>
          <w:rFonts w:hAnsi="ＭＳ 明朝"/>
          <w:szCs w:val="21"/>
        </w:rPr>
      </w:pPr>
      <w:r>
        <w:rPr>
          <w:rFonts w:hint="eastAsia" w:hAnsi="ＭＳ 明朝"/>
          <w:szCs w:val="21"/>
        </w:rPr>
        <w:t>２　審査実施上の留意事項</w:t>
      </w:r>
    </w:p>
    <w:p>
      <w:pPr>
        <w:pStyle w:val="3"/>
        <w:ind w:left="700" w:hanging="200"/>
        <w:rPr>
          <w:rFonts w:hAnsi="ＭＳ 明朝"/>
          <w:szCs w:val="21"/>
        </w:rPr>
      </w:pPr>
      <w:r>
        <w:rPr>
          <w:rFonts w:hint="eastAsia" w:hAnsi="ＭＳ 明朝"/>
          <w:szCs w:val="21"/>
        </w:rPr>
        <w:t>⑴　審査担当者は、審査の過程において問題が複雑又は困難なため審査終了までに長時間を要すると認められる場合、一般審査扱いとして配付を受けたものについて申告内容等から重点審査を行う必要があると認められるものの場合、貨物確認を実施しないものについて貨物確認を行う必要があると認められる場合及び貨物確認方法等を変更する必要があると認められる場合等には、その旨を統括官等に報告するものとする。</w:t>
      </w:r>
    </w:p>
    <w:p>
      <w:pPr>
        <w:pStyle w:val="3"/>
        <w:ind w:left="700" w:hanging="200"/>
        <w:rPr>
          <w:rFonts w:hAnsi="ＭＳ 明朝"/>
          <w:szCs w:val="21"/>
        </w:rPr>
      </w:pPr>
      <w:r>
        <w:rPr>
          <w:rFonts w:hint="eastAsia" w:hAnsi="ＭＳ 明朝"/>
          <w:szCs w:val="21"/>
        </w:rPr>
        <w:t>⑵　上記⑴の報告を受けた統括官等は、その処理方法について適切な指示を行うものとする。</w:t>
      </w:r>
    </w:p>
    <w:p>
      <w:pPr>
        <w:pStyle w:val="3"/>
        <w:rPr>
          <w:rFonts w:hAnsi="ＭＳ 明朝"/>
          <w:szCs w:val="21"/>
        </w:rPr>
      </w:pPr>
      <w:r>
        <w:rPr>
          <w:rFonts w:hint="eastAsia" w:hAnsi="ＭＳ 明朝"/>
          <w:szCs w:val="21"/>
        </w:rPr>
        <w:t>第２　貨物確認事務等</w:t>
      </w:r>
    </w:p>
    <w:p>
      <w:pPr>
        <w:pStyle w:val="3"/>
        <w:ind w:left="525" w:hanging="240"/>
        <w:rPr>
          <w:rFonts w:hAnsi="ＭＳ 明朝"/>
          <w:szCs w:val="21"/>
        </w:rPr>
      </w:pPr>
      <w:r>
        <w:rPr>
          <w:rFonts w:hint="eastAsia" w:hAnsi="ＭＳ 明朝"/>
          <w:szCs w:val="21"/>
        </w:rPr>
        <w:t>１　他法令の該非の確認、統計品目分類、知的財産侵害物品の認定等輸出申告についての適正な審査を行うため、輸出申告に係る貨物と申告内容との同一性の確認等必要な貨物確認を十分に行うものとする。</w:t>
      </w:r>
    </w:p>
    <w:p>
      <w:pPr>
        <w:pStyle w:val="3"/>
        <w:ind w:left="525" w:hanging="240"/>
        <w:rPr>
          <w:rFonts w:hAnsi="ＭＳ 明朝"/>
          <w:szCs w:val="21"/>
        </w:rPr>
      </w:pPr>
      <w:r>
        <w:rPr>
          <w:rFonts w:hint="eastAsia" w:hAnsi="ＭＳ 明朝"/>
          <w:szCs w:val="21"/>
        </w:rPr>
        <w:t>２　税関検査場へ貨物を搬入させることが物理的に困難又は不適当な場合、蔵置場所において貨物の蔵置状況を全体的に把握の上確認する貨物の指定を行う必要がある場合その他確認すべき貨物の蔵置場所において貨物確認を行うことが適切であると認められる場合には、当該貨物の蔵置場所において貨物確認を行う。</w:t>
      </w:r>
    </w:p>
    <w:p>
      <w:pPr>
        <w:pStyle w:val="3"/>
        <w:ind w:left="525" w:hanging="240"/>
        <w:rPr>
          <w:rFonts w:hAnsi="ＭＳ 明朝"/>
          <w:szCs w:val="21"/>
        </w:rPr>
      </w:pPr>
      <w:r>
        <w:rPr>
          <w:rFonts w:hint="eastAsia" w:hAnsi="ＭＳ 明朝"/>
          <w:szCs w:val="21"/>
        </w:rPr>
        <w:t>３　税関検査場へ貨物を搬入させることが容易であり、かつ、税関検査場で貨物確認を行うことによって支障なくその目的を達せられる場合には、税関検査場において貨物確認を行う。</w:t>
      </w:r>
    </w:p>
    <w:p>
      <w:pPr>
        <w:pStyle w:val="3"/>
        <w:ind w:left="525" w:hanging="240"/>
        <w:rPr>
          <w:rFonts w:hAnsi="ＭＳ 明朝"/>
          <w:szCs w:val="21"/>
        </w:rPr>
      </w:pPr>
      <w:r>
        <w:rPr>
          <w:rFonts w:hint="eastAsia" w:hAnsi="ＭＳ 明朝"/>
          <w:szCs w:val="21"/>
        </w:rPr>
        <w:t>４　少量の見本の確認（以下「見本確認」という。）によって支障なく貨物確認の目的を達せられる場合には、見本確認を活用することとする。</w:t>
      </w:r>
    </w:p>
    <w:p>
      <w:pPr>
        <w:pStyle w:val="3"/>
        <w:ind w:left="525" w:hanging="240"/>
        <w:rPr>
          <w:rFonts w:hAnsi="ＭＳ 明朝"/>
          <w:szCs w:val="21"/>
        </w:rPr>
      </w:pPr>
      <w:r>
        <w:rPr>
          <w:rFonts w:hint="eastAsia" w:hAnsi="ＭＳ 明朝"/>
          <w:szCs w:val="21"/>
        </w:rPr>
        <w:t>５　統括官等は、関税法基本通達</w:t>
      </w:r>
      <w:r>
        <w:rPr>
          <w:rFonts w:hAnsi="ＭＳ 明朝"/>
          <w:szCs w:val="21"/>
        </w:rPr>
        <w:t>67</w:t>
      </w:r>
      <w:r>
        <w:rPr>
          <w:rFonts w:hint="eastAsia" w:hAnsi="ＭＳ 明朝"/>
          <w:szCs w:val="21"/>
        </w:rPr>
        <w:t>―</w:t>
      </w:r>
      <w:r>
        <w:rPr>
          <w:rFonts w:hAnsi="ＭＳ 明朝"/>
          <w:szCs w:val="21"/>
        </w:rPr>
        <w:t>1</w:t>
      </w:r>
      <w:r>
        <w:rPr>
          <w:rFonts w:hint="eastAsia" w:hAnsi="ＭＳ 明朝"/>
          <w:szCs w:val="21"/>
        </w:rPr>
        <w:t>―</w:t>
      </w:r>
      <w:r>
        <w:rPr>
          <w:rFonts w:hAnsi="ＭＳ 明朝"/>
          <w:szCs w:val="21"/>
        </w:rPr>
        <w:t>8</w:t>
      </w:r>
      <w:r>
        <w:rPr>
          <w:rFonts w:hint="eastAsia" w:hAnsi="ＭＳ 明朝"/>
          <w:szCs w:val="21"/>
        </w:rPr>
        <w:t>（検査貨物の指定等）の規定に基づいて貨物確認を行う貨物の指定を行うものとし、指定に当たっては貨物確認を行う職員に対して貨物確認のポイント及び要領を的確に指示することとする。</w:t>
      </w:r>
    </w:p>
    <w:p>
      <w:pPr>
        <w:pStyle w:val="3"/>
        <w:ind w:left="525" w:hanging="240"/>
        <w:rPr>
          <w:rFonts w:hAnsi="ＭＳ 明朝"/>
          <w:szCs w:val="21"/>
        </w:rPr>
      </w:pPr>
      <w:r>
        <w:rPr>
          <w:rFonts w:hint="eastAsia" w:hAnsi="ＭＳ 明朝"/>
          <w:szCs w:val="21"/>
        </w:rPr>
        <w:t>６　貨物確認を実施するに当たっては、輸出者又は通関業者の立会いを求めることとする。</w:t>
      </w:r>
    </w:p>
    <w:sectPr>
      <w:pgSz w:w="11906" w:h="16838"/>
      <w:pgMar w:top="1418" w:right="1701" w:bottom="1418" w:left="1701" w:header="851" w:footer="992" w:gutter="0"/>
      <w:cols w:space="425"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51"/>
  <w:drawingGridHorizontalSpacing w:val="1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7524"/>
    <w:rsid w:val="00101F28"/>
    <w:rsid w:val="0012078B"/>
    <w:rsid w:val="00147543"/>
    <w:rsid w:val="00155E8A"/>
    <w:rsid w:val="004657DD"/>
    <w:rsid w:val="00614777"/>
    <w:rsid w:val="00655B33"/>
    <w:rsid w:val="006E15EF"/>
    <w:rsid w:val="007435CF"/>
    <w:rsid w:val="00950EF1"/>
    <w:rsid w:val="00BD32F9"/>
    <w:rsid w:val="00DA509D"/>
    <w:rsid w:val="00DB08CC"/>
    <w:rsid w:val="00F05A3D"/>
    <w:rsid w:val="00F10321"/>
    <w:rsid w:val="00F623BB"/>
    <w:rsid w:val="00FB7524"/>
    <w:rsid w:val="28117E1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4"/>
      <w:lang w:val="en-US" w:eastAsia="ja-JP"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252"/>
        <w:tab w:val="right" w:pos="8504"/>
      </w:tabs>
      <w:snapToGrid w:val="0"/>
    </w:pPr>
  </w:style>
  <w:style w:type="paragraph" w:styleId="3">
    <w:name w:val="Plain Text"/>
    <w:basedOn w:val="1"/>
    <w:uiPriority w:val="0"/>
    <w:rPr>
      <w:rFonts w:ascii="ＭＳ 明朝" w:hAnsi="Courier New"/>
      <w:sz w:val="21"/>
    </w:rPr>
  </w:style>
  <w:style w:type="paragraph" w:styleId="4">
    <w:name w:val="header"/>
    <w:basedOn w:val="1"/>
    <w:link w:val="7"/>
    <w:uiPriority w:val="0"/>
    <w:pPr>
      <w:tabs>
        <w:tab w:val="center" w:pos="4252"/>
        <w:tab w:val="right" w:pos="8504"/>
      </w:tabs>
      <w:snapToGrid w:val="0"/>
    </w:pPr>
  </w:style>
  <w:style w:type="character" w:customStyle="1" w:styleId="7">
    <w:name w:val="ヘッダー (文字)"/>
    <w:basedOn w:val="5"/>
    <w:link w:val="4"/>
    <w:uiPriority w:val="0"/>
    <w:rPr>
      <w:kern w:val="2"/>
      <w:sz w:val="24"/>
    </w:rPr>
  </w:style>
  <w:style w:type="character" w:customStyle="1" w:styleId="8">
    <w:name w:val="フッター (文字)"/>
    <w:basedOn w:val="5"/>
    <w:link w:val="2"/>
    <w:uiPriority w:val="0"/>
    <w:rPr>
      <w:kern w:val="2"/>
      <w:sz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大蔵省</Company>
  <Pages>3</Pages>
  <Words>304</Words>
  <Characters>1734</Characters>
  <Lines>14</Lines>
  <Paragraphs>4</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2012-06-19T23:58:00Z</dcterms:created>
  <dc:creator>行政情報化LANシステム</dc:creator>
  <cp:lastModifiedBy>恒久</cp:lastModifiedBy>
  <cp:lastPrinted>2000-03-21T07:30:00Z</cp:lastPrinted>
  <dcterms:modified xsi:type="dcterms:W3CDTF">2021-01-08T13:18:14Z</dcterms:modified>
  <dc:title>蔵関第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