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x-emf" PartName="/word/media/image1.emf"/>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Century" w:hAnsi="Century" w:eastAsia="ＭＳ 明朝" w:cs="Times New Roman"/>
          <w:kern w:val="2"/>
          <w:sz w:val="21"/>
        </w:rPr>
      </w:pPr>
      <w:r>
        <w:rPr>
          <w:rFonts w:hint="eastAsia" w:ascii="Century" w:hAnsi="Century" w:eastAsia="ＭＳ 明朝" w:cs="Times New Roman"/>
          <w:kern w:val="2"/>
          <w:sz w:val="21"/>
        </w:rPr>
        <w:t>税関検査場電子申告ゲートを使用して行う税関業務の取扱いについて</w:t>
      </w:r>
    </w:p>
    <w:p>
      <w:pPr>
        <w:jc w:val="both"/>
        <w:rPr>
          <w:rFonts w:ascii="Century" w:hAnsi="Century" w:eastAsia="ＭＳ 明朝" w:cs="Times New Roman"/>
          <w:kern w:val="2"/>
          <w:sz w:val="21"/>
        </w:rPr>
      </w:pPr>
    </w:p>
    <w:p>
      <w:pPr>
        <w:jc w:val="both"/>
        <w:rPr>
          <w:rFonts w:ascii="Century" w:hAnsi="Century" w:eastAsia="ＭＳ 明朝" w:cs="Times New Roman"/>
          <w:kern w:val="2"/>
          <w:sz w:val="21"/>
        </w:rPr>
      </w:pPr>
      <w:r>
        <w:rPr>
          <w:rFonts w:hint="eastAsia" w:ascii="Century" w:hAnsi="Century" w:eastAsia="ＭＳ 明朝" w:cs="Times New Roman"/>
          <w:kern w:val="2"/>
          <w:sz w:val="21"/>
        </w:rPr>
        <w:tab/>
      </w:r>
      <w:r>
        <w:rPr>
          <w:rFonts w:hint="eastAsia" w:ascii="Century" w:hAnsi="Century" w:eastAsia="ＭＳ 明朝" w:cs="Times New Roman"/>
          <w:kern w:val="2"/>
          <w:sz w:val="21"/>
        </w:rPr>
        <w:t>平成31年3月30日財関第439号</w:t>
      </w:r>
    </w:p>
    <w:p>
      <w:pPr>
        <w:jc w:val="both"/>
        <w:rPr>
          <w:rFonts w:ascii="Century" w:hAnsi="Century" w:eastAsia="ＭＳ 明朝" w:cs="Times New Roman"/>
          <w:kern w:val="2"/>
          <w:sz w:val="21"/>
        </w:rPr>
      </w:pPr>
      <w:r>
        <w:rPr>
          <w:rFonts w:hint="eastAsia" w:ascii="Century" w:hAnsi="Century" w:eastAsia="ＭＳ 明朝" w:cs="Times New Roman"/>
          <w:kern w:val="2"/>
          <w:sz w:val="21"/>
        </w:rPr>
        <w:t>改正</w:t>
      </w:r>
      <w:r>
        <w:rPr>
          <w:rFonts w:hint="eastAsia" w:ascii="Century" w:hAnsi="Century" w:eastAsia="ＭＳ 明朝" w:cs="Times New Roman"/>
          <w:kern w:val="2"/>
          <w:sz w:val="21"/>
        </w:rPr>
        <w:tab/>
      </w:r>
      <w:r>
        <w:rPr>
          <w:rFonts w:hint="eastAsia" w:ascii="Century" w:hAnsi="Century" w:eastAsia="ＭＳ 明朝" w:cs="Times New Roman"/>
          <w:kern w:val="2"/>
          <w:sz w:val="21"/>
        </w:rPr>
        <w:t>令和元年12月16日財関第1717号</w:t>
      </w:r>
    </w:p>
    <w:p>
      <w:pPr>
        <w:jc w:val="both"/>
        <w:rPr>
          <w:rFonts w:ascii="Century" w:hAnsi="Century" w:eastAsia="ＭＳ 明朝" w:cs="Times New Roman"/>
          <w:kern w:val="2"/>
          <w:sz w:val="21"/>
        </w:rPr>
      </w:pPr>
      <w:r>
        <w:rPr>
          <w:rFonts w:hint="eastAsia" w:ascii="Century" w:hAnsi="Century" w:eastAsia="ＭＳ 明朝" w:cs="Times New Roman"/>
          <w:kern w:val="2"/>
          <w:sz w:val="21"/>
        </w:rPr>
        <w:t>改正</w:t>
      </w:r>
      <w:r>
        <w:rPr>
          <w:rFonts w:hint="eastAsia" w:ascii="Century" w:hAnsi="Century" w:eastAsia="ＭＳ 明朝" w:cs="Times New Roman"/>
          <w:kern w:val="2"/>
          <w:sz w:val="21"/>
        </w:rPr>
        <w:tab/>
      </w:r>
      <w:r>
        <w:rPr>
          <w:rFonts w:hint="eastAsia" w:ascii="Century" w:hAnsi="Century" w:eastAsia="ＭＳ 明朝" w:cs="Times New Roman"/>
          <w:kern w:val="2"/>
          <w:sz w:val="21"/>
        </w:rPr>
        <w:t>令和2年3月31日財関第415号</w:t>
      </w:r>
    </w:p>
    <w:p>
      <w:pPr>
        <w:jc w:val="both"/>
        <w:rPr>
          <w:rFonts w:ascii="Century" w:hAnsi="Century" w:eastAsia="ＭＳ 明朝" w:cs="Times New Roman"/>
          <w:kern w:val="2"/>
          <w:sz w:val="21"/>
        </w:rPr>
      </w:pPr>
      <w:r>
        <w:rPr>
          <w:rFonts w:ascii="Century" w:hAnsi="Century" w:eastAsia="ＭＳ 明朝" w:cs="Times New Roman"/>
          <w:kern w:val="2"/>
          <w:sz w:val="21"/>
        </w:rPr>
        <w:t>改正</w:t>
      </w:r>
      <w:r>
        <w:rPr>
          <w:rFonts w:ascii="Century" w:hAnsi="Century" w:eastAsia="ＭＳ 明朝" w:cs="Times New Roman"/>
          <w:kern w:val="2"/>
          <w:sz w:val="21"/>
        </w:rPr>
        <w:tab/>
      </w:r>
      <w:r>
        <w:rPr>
          <w:rFonts w:ascii="Century" w:hAnsi="Century" w:eastAsia="ＭＳ 明朝" w:cs="Times New Roman"/>
          <w:kern w:val="2"/>
          <w:sz w:val="21"/>
        </w:rPr>
        <w:t>令和3年3月31日財関第260号</w:t>
      </w:r>
    </w:p>
    <w:p>
      <w:pPr>
        <w:jc w:val="both"/>
        <w:rPr>
          <w:rFonts w:ascii="Century" w:hAnsi="Century" w:eastAsia="ＭＳ 明朝" w:cs="Times New Roman"/>
          <w:kern w:val="2"/>
          <w:sz w:val="21"/>
        </w:rPr>
      </w:pPr>
      <w:r>
        <w:rPr>
          <w:rFonts w:ascii="Century" w:hAnsi="Century" w:eastAsia="ＭＳ 明朝" w:cs="Times New Roman"/>
          <w:kern w:val="2"/>
          <w:sz w:val="21"/>
        </w:rPr>
        <w:t>改正</w:t>
      </w:r>
      <w:r>
        <w:rPr>
          <w:rFonts w:ascii="Century" w:hAnsi="Century" w:eastAsia="ＭＳ 明朝" w:cs="Times New Roman"/>
          <w:kern w:val="2"/>
          <w:sz w:val="21"/>
        </w:rPr>
        <w:tab/>
      </w:r>
      <w:r>
        <w:rPr>
          <w:rFonts w:ascii="Century" w:hAnsi="Century" w:eastAsia="ＭＳ 明朝" w:cs="Times New Roman"/>
          <w:kern w:val="2"/>
          <w:sz w:val="21"/>
        </w:rPr>
        <w:t>令和4年3月31日財関第20号</w:t>
      </w:r>
    </w:p>
    <w:p>
      <w:pPr>
        <w:jc w:val="both"/>
        <w:rPr>
          <w:rFonts w:ascii="Century" w:hAnsi="Century" w:eastAsia="ＭＳ 明朝" w:cs="Times New Roman"/>
          <w:kern w:val="2"/>
          <w:sz w:val="21"/>
        </w:rPr>
      </w:pPr>
      <w:r>
        <w:rPr>
          <w:rFonts w:ascii="Century" w:hAnsi="Century" w:eastAsia="ＭＳ 明朝" w:cs="Times New Roman"/>
          <w:kern w:val="2"/>
          <w:sz w:val="21"/>
        </w:rPr>
        <w:t>改正</w:t>
      </w:r>
      <w:r>
        <w:rPr>
          <w:rFonts w:ascii="Century" w:hAnsi="Century" w:eastAsia="ＭＳ 明朝" w:cs="Times New Roman"/>
          <w:kern w:val="2"/>
          <w:sz w:val="21"/>
        </w:rPr>
        <w:tab/>
      </w:r>
      <w:r>
        <w:rPr>
          <w:rFonts w:hint="default" w:ascii="Century" w:hAnsi="Century" w:eastAsia="ＭＳ 明朝" w:cs="Times New Roman"/>
          <w:kern w:val="2"/>
          <w:sz w:val="21"/>
        </w:rPr>
        <w:t>令和5年12月15日財関第1211号</w:t>
      </w:r>
    </w:p>
    <w:p>
      <w:pPr>
        <w:jc w:val="both"/>
        <w:rPr>
          <w:rFonts w:ascii="Century" w:hAnsi="Century" w:eastAsia="ＭＳ 明朝" w:cs="Times New Roman"/>
          <w:kern w:val="2"/>
          <w:sz w:val="21"/>
        </w:rPr>
      </w:pPr>
      <w:r>
        <w:rPr>
          <w:rFonts w:ascii="Century" w:hAnsi="Century" w:eastAsia="ＭＳ 明朝" w:cs="Times New Roman"/>
          <w:kern w:val="2"/>
          <w:sz w:val="21"/>
        </w:rPr>
        <w:t>改正</w:t>
      </w:r>
      <w:r>
        <w:rPr>
          <w:rFonts w:ascii="Century" w:hAnsi="Century" w:eastAsia="ＭＳ 明朝" w:cs="Times New Roman"/>
          <w:kern w:val="2"/>
          <w:sz w:val="21"/>
        </w:rPr>
        <w:tab/>
      </w:r>
      <w:r>
        <w:rPr>
          <w:rFonts w:hint="default" w:ascii="Century" w:hAnsi="Century" w:eastAsia="ＭＳ 明朝" w:cs="Times New Roman"/>
          <w:kern w:val="2"/>
          <w:sz w:val="21"/>
        </w:rPr>
        <w:t>令和6年3月31日財関第259号</w:t>
      </w:r>
    </w:p>
    <w:p>
      <w:pPr>
        <w:jc w:val="both"/>
        <w:rPr>
          <w:rFonts w:hint="eastAsia" w:ascii="Century" w:hAnsi="Century" w:eastAsia="ＭＳ 明朝" w:cs="Times New Roman"/>
          <w:kern w:val="2"/>
          <w:sz w:val="21"/>
          <w:lang w:eastAsia="ja-JP"/>
        </w:rPr>
      </w:pPr>
      <w:bookmarkStart w:id="0" w:name="_GoBack"/>
      <w:r>
        <w:rPr>
          <w:rFonts w:hint="eastAsia" w:ascii="Century" w:hAnsi="Century" w:eastAsia="ＭＳ 明朝" w:cs="Times New Roman"/>
          <w:kern w:val="2"/>
          <w:sz w:val="21"/>
          <w:lang w:eastAsia="ja-JP"/>
        </w:rPr>
        <w:t>改正</w:t>
      </w:r>
      <w:r>
        <w:rPr>
          <w:rFonts w:hint="eastAsia" w:ascii="Century" w:hAnsi="Century" w:eastAsia="ＭＳ 明朝" w:cs="Times New Roman"/>
          <w:kern w:val="2"/>
          <w:sz w:val="21"/>
          <w:lang w:eastAsia="ja-JP"/>
        </w:rPr>
        <w:tab/>
      </w:r>
      <w:r>
        <w:rPr>
          <w:rFonts w:hint="eastAsia" w:ascii="Century" w:hAnsi="Century" w:eastAsia="ＭＳ 明朝" w:cs="Times New Roman"/>
          <w:kern w:val="2"/>
          <w:sz w:val="21"/>
          <w:lang w:eastAsia="ja-JP"/>
        </w:rPr>
        <w:t>令和6年</w:t>
      </w:r>
      <w:r>
        <w:rPr>
          <w:rFonts w:hint="eastAsia" w:ascii="Century" w:hAnsi="Century" w:eastAsia="ＭＳ 明朝" w:cs="Times New Roman"/>
          <w:kern w:val="2"/>
          <w:sz w:val="21"/>
          <w:lang w:val="en-US" w:eastAsia="ja-JP"/>
        </w:rPr>
        <w:t>4</w:t>
      </w:r>
      <w:r>
        <w:rPr>
          <w:rFonts w:hint="eastAsia" w:ascii="Century" w:hAnsi="Century" w:eastAsia="ＭＳ 明朝" w:cs="Times New Roman"/>
          <w:kern w:val="2"/>
          <w:sz w:val="21"/>
          <w:lang w:eastAsia="ja-JP"/>
        </w:rPr>
        <w:t>月</w:t>
      </w:r>
      <w:r>
        <w:rPr>
          <w:rFonts w:hint="eastAsia" w:ascii="Century" w:hAnsi="Century" w:eastAsia="ＭＳ 明朝" w:cs="Times New Roman"/>
          <w:kern w:val="2"/>
          <w:sz w:val="21"/>
          <w:lang w:val="en-US" w:eastAsia="ja-JP"/>
        </w:rPr>
        <w:t>2</w:t>
      </w:r>
      <w:r>
        <w:rPr>
          <w:rFonts w:hint="eastAsia" w:ascii="Century" w:hAnsi="Century" w:eastAsia="ＭＳ 明朝" w:cs="Times New Roman"/>
          <w:kern w:val="2"/>
          <w:sz w:val="21"/>
          <w:lang w:eastAsia="ja-JP"/>
        </w:rPr>
        <w:t>日財関第</w:t>
      </w:r>
      <w:r>
        <w:rPr>
          <w:rFonts w:hint="eastAsia" w:ascii="Century" w:hAnsi="Century" w:eastAsia="ＭＳ 明朝" w:cs="Times New Roman"/>
          <w:kern w:val="2"/>
          <w:sz w:val="21"/>
          <w:lang w:val="en-US" w:eastAsia="ja-JP"/>
        </w:rPr>
        <w:t>325</w:t>
      </w:r>
      <w:r>
        <w:rPr>
          <w:rFonts w:hint="eastAsia" w:ascii="Century" w:hAnsi="Century" w:eastAsia="ＭＳ 明朝" w:cs="Times New Roman"/>
          <w:kern w:val="2"/>
          <w:sz w:val="21"/>
          <w:lang w:eastAsia="ja-JP"/>
        </w:rPr>
        <w:t>号</w:t>
      </w:r>
    </w:p>
    <w:bookmarkEnd w:id="0"/>
    <w:p>
      <w:pPr>
        <w:jc w:val="both"/>
        <w:rPr>
          <w:rFonts w:hint="eastAsia" w:ascii="Century" w:hAnsi="Century" w:eastAsia="ＭＳ 明朝" w:cs="Times New Roman"/>
          <w:kern w:val="2"/>
          <w:sz w:val="21"/>
        </w:rPr>
      </w:pPr>
    </w:p>
    <w:p>
      <w:pPr>
        <w:ind w:firstLine="210" w:firstLineChars="100"/>
        <w:jc w:val="both"/>
        <w:rPr>
          <w:rFonts w:ascii="Century" w:hAnsi="Century" w:eastAsia="ＭＳ 明朝" w:cs="Times New Roman"/>
          <w:kern w:val="2"/>
          <w:sz w:val="21"/>
        </w:rPr>
      </w:pPr>
      <w:r>
        <w:rPr>
          <w:rFonts w:hint="eastAsia" w:ascii="Century" w:hAnsi="Century" w:eastAsia="ＭＳ 明朝" w:cs="Times New Roman"/>
          <w:kern w:val="2"/>
          <w:sz w:val="21"/>
        </w:rPr>
        <w:t>標記のことについて、下記のとおり定めたので、平成</w:t>
      </w:r>
      <w:r>
        <w:rPr>
          <w:rFonts w:ascii="Century" w:hAnsi="Century" w:eastAsia="ＭＳ 明朝" w:cs="Times New Roman"/>
          <w:kern w:val="2"/>
          <w:sz w:val="21"/>
        </w:rPr>
        <w:t>31</w:t>
      </w:r>
      <w:r>
        <w:rPr>
          <w:rFonts w:hint="eastAsia" w:ascii="Century" w:hAnsi="Century" w:eastAsia="ＭＳ 明朝" w:cs="Times New Roman"/>
          <w:kern w:val="2"/>
          <w:sz w:val="21"/>
        </w:rPr>
        <w:t>年4月1日から、これにより実施されたい。</w:t>
      </w:r>
    </w:p>
    <w:p>
      <w:pPr>
        <w:ind w:firstLine="210" w:firstLineChars="100"/>
        <w:jc w:val="both"/>
        <w:rPr>
          <w:rFonts w:ascii="Century" w:hAnsi="Century" w:eastAsia="ＭＳ 明朝" w:cs="Times New Roman"/>
          <w:kern w:val="2"/>
          <w:sz w:val="21"/>
        </w:rPr>
      </w:pPr>
      <w:r>
        <w:rPr>
          <w:rFonts w:hint="eastAsia" w:ascii="Century" w:hAnsi="Century" w:eastAsia="ＭＳ 明朝" w:cs="Times New Roman"/>
          <w:kern w:val="2"/>
          <w:sz w:val="21"/>
        </w:rPr>
        <w:t>この場合において、この通達に定めのないものについては、関税法基本通達（昭和</w:t>
      </w:r>
      <w:r>
        <w:rPr>
          <w:rFonts w:ascii="Century" w:hAnsi="Century" w:eastAsia="ＭＳ 明朝" w:cs="Times New Roman"/>
          <w:kern w:val="2"/>
          <w:sz w:val="21"/>
        </w:rPr>
        <w:t>47</w:t>
      </w:r>
      <w:r>
        <w:rPr>
          <w:rFonts w:hint="eastAsia" w:ascii="Century" w:hAnsi="Century" w:eastAsia="ＭＳ 明朝" w:cs="Times New Roman"/>
          <w:kern w:val="2"/>
          <w:sz w:val="21"/>
        </w:rPr>
        <w:t>年3月1日蔵関第</w:t>
      </w:r>
      <w:r>
        <w:rPr>
          <w:rFonts w:ascii="Century" w:hAnsi="Century" w:eastAsia="ＭＳ 明朝" w:cs="Times New Roman"/>
          <w:kern w:val="2"/>
          <w:sz w:val="21"/>
        </w:rPr>
        <w:t>100</w:t>
      </w:r>
      <w:r>
        <w:rPr>
          <w:rFonts w:hint="eastAsia" w:ascii="Century" w:hAnsi="Century" w:eastAsia="ＭＳ 明朝" w:cs="Times New Roman"/>
          <w:kern w:val="2"/>
          <w:sz w:val="21"/>
        </w:rPr>
        <w:t>号）その他関税関係通達の定めるところによる。</w:t>
      </w:r>
    </w:p>
    <w:p>
      <w:pPr>
        <w:jc w:val="center"/>
        <w:rPr>
          <w:rFonts w:ascii="Century" w:hAnsi="Century" w:eastAsia="ＭＳ 明朝" w:cs="Times New Roman"/>
          <w:kern w:val="2"/>
          <w:sz w:val="21"/>
        </w:rPr>
      </w:pPr>
      <w:r>
        <w:rPr>
          <w:rFonts w:hint="eastAsia" w:ascii="Century" w:hAnsi="Century" w:eastAsia="ＭＳ 明朝" w:cs="Times New Roman"/>
          <w:kern w:val="2"/>
          <w:sz w:val="21"/>
        </w:rPr>
        <w:t>記</w:t>
      </w:r>
    </w:p>
    <w:p>
      <w:pPr>
        <w:ind w:left="220" w:leftChars="100"/>
        <w:jc w:val="both"/>
        <w:rPr>
          <w:rFonts w:ascii="Century" w:hAnsi="Century" w:eastAsia="ＭＳ 明朝" w:cs="Times New Roman"/>
          <w:kern w:val="2"/>
          <w:sz w:val="21"/>
        </w:rPr>
      </w:pPr>
      <w:r>
        <w:rPr>
          <w:rFonts w:hint="eastAsia" w:ascii="Century" w:hAnsi="Century" w:eastAsia="ＭＳ 明朝" w:cs="Times New Roman"/>
          <w:kern w:val="2"/>
          <w:sz w:val="21"/>
        </w:rPr>
        <w:t>（用語の意義）</w:t>
      </w:r>
    </w:p>
    <w:p>
      <w:pPr>
        <w:ind w:left="210" w:hanging="210" w:hangingChars="100"/>
        <w:jc w:val="both"/>
        <w:rPr>
          <w:rFonts w:ascii="Century" w:hAnsi="Century" w:eastAsia="ＭＳ 明朝" w:cs="Times New Roman"/>
          <w:kern w:val="2"/>
          <w:sz w:val="21"/>
        </w:rPr>
      </w:pPr>
      <w:r>
        <w:rPr>
          <w:rFonts w:hint="eastAsia" w:ascii="Century" w:hAnsi="Century" w:eastAsia="ＭＳ 明朝" w:cs="Times New Roman"/>
          <w:kern w:val="2"/>
          <w:sz w:val="21"/>
        </w:rPr>
        <w:t>１　税関関係法令に係る情報通信技術を活用した行政の推進等に関する省令（平成</w:t>
      </w:r>
      <w:r>
        <w:rPr>
          <w:rFonts w:ascii="Century" w:hAnsi="Century" w:eastAsia="ＭＳ 明朝" w:cs="Times New Roman"/>
          <w:kern w:val="2"/>
          <w:sz w:val="21"/>
        </w:rPr>
        <w:t>15</w:t>
      </w:r>
      <w:r>
        <w:rPr>
          <w:rFonts w:hint="eastAsia" w:ascii="Century" w:hAnsi="Century" w:eastAsia="ＭＳ 明朝" w:cs="Times New Roman"/>
          <w:kern w:val="2"/>
          <w:sz w:val="21"/>
        </w:rPr>
        <w:t>年財務省令第7号。以下「省令」という。）の規定に関する用語の意義については、次による。</w:t>
      </w:r>
    </w:p>
    <w:p>
      <w:pPr>
        <w:ind w:left="430" w:leftChars="100" w:hanging="210" w:hangingChars="100"/>
        <w:jc w:val="both"/>
        <w:rPr>
          <w:rFonts w:ascii="Century" w:hAnsi="Century" w:eastAsia="ＭＳ 明朝" w:cs="Times New Roman"/>
          <w:kern w:val="2"/>
          <w:sz w:val="21"/>
        </w:rPr>
      </w:pPr>
      <w:r>
        <w:rPr>
          <w:rFonts w:hint="eastAsia" w:ascii="Century" w:hAnsi="Century" w:eastAsia="ＭＳ 明朝" w:cs="Times New Roman"/>
          <w:kern w:val="2"/>
          <w:sz w:val="21"/>
        </w:rPr>
        <w:t>⑴</w:t>
      </w:r>
      <w:r>
        <w:rPr>
          <w:rFonts w:ascii="Century" w:hAnsi="Century" w:eastAsia="ＭＳ 明朝" w:cs="Times New Roman"/>
          <w:kern w:val="2"/>
          <w:sz w:val="21"/>
        </w:rPr>
        <w:t>　</w:t>
      </w:r>
      <w:r>
        <w:rPr>
          <w:rFonts w:hint="eastAsia" w:ascii="Century" w:hAnsi="Century" w:eastAsia="ＭＳ 明朝" w:cs="Times New Roman"/>
          <w:kern w:val="2"/>
          <w:sz w:val="21"/>
        </w:rPr>
        <w:t>省令第3条第2項に規定する電子情報処理組織とは、税関検査場電子申告ゲート（</w:t>
      </w:r>
      <w:r>
        <w:rPr>
          <w:rFonts w:ascii="Century" w:hAnsi="Century" w:eastAsia="ＭＳ 明朝" w:cs="Times New Roman"/>
          <w:kern w:val="2"/>
          <w:sz w:val="21"/>
        </w:rPr>
        <w:t>以下「Ｅゲート」という。</w:t>
      </w:r>
      <w:r>
        <w:rPr>
          <w:rFonts w:hint="eastAsia" w:ascii="Century" w:hAnsi="Century" w:eastAsia="ＭＳ 明朝" w:cs="Times New Roman"/>
          <w:kern w:val="2"/>
          <w:sz w:val="21"/>
        </w:rPr>
        <w:t>」という。）をいう。</w:t>
      </w:r>
    </w:p>
    <w:p>
      <w:pPr>
        <w:ind w:left="430" w:leftChars="100" w:hanging="210" w:hangingChars="100"/>
        <w:jc w:val="both"/>
        <w:rPr>
          <w:rFonts w:ascii="Century" w:hAnsi="Century" w:eastAsia="ＭＳ 明朝" w:cs="Times New Roman"/>
          <w:kern w:val="2"/>
          <w:sz w:val="21"/>
        </w:rPr>
      </w:pPr>
      <w:r>
        <w:rPr>
          <w:rFonts w:hint="eastAsia" w:ascii="Century" w:hAnsi="Century" w:eastAsia="ＭＳ 明朝" w:cs="Times New Roman"/>
          <w:kern w:val="2"/>
          <w:sz w:val="21"/>
        </w:rPr>
        <w:t>⑵</w:t>
      </w:r>
      <w:r>
        <w:rPr>
          <w:rFonts w:ascii="Century" w:hAnsi="Century" w:eastAsia="ＭＳ 明朝" w:cs="Times New Roman"/>
          <w:kern w:val="2"/>
          <w:sz w:val="21"/>
        </w:rPr>
        <w:t>　</w:t>
      </w:r>
      <w:r>
        <w:rPr>
          <w:rFonts w:hint="eastAsia" w:ascii="Century" w:hAnsi="Century" w:eastAsia="ＭＳ 明朝" w:cs="Times New Roman"/>
          <w:kern w:val="2"/>
          <w:sz w:val="21"/>
        </w:rPr>
        <w:t>省令第3条第2項に規定する申請等とは、関税法施行令（昭和</w:t>
      </w:r>
      <w:r>
        <w:rPr>
          <w:rFonts w:ascii="Century" w:hAnsi="Century" w:eastAsia="ＭＳ 明朝" w:cs="Times New Roman"/>
          <w:kern w:val="2"/>
          <w:sz w:val="21"/>
        </w:rPr>
        <w:t>29</w:t>
      </w:r>
      <w:r>
        <w:rPr>
          <w:rFonts w:hint="eastAsia" w:ascii="Century" w:hAnsi="Century" w:eastAsia="ＭＳ 明朝" w:cs="Times New Roman"/>
          <w:kern w:val="2"/>
          <w:sz w:val="21"/>
        </w:rPr>
        <w:t>年政令第150号）第59条第１項に規定する関税法（昭和29年法律第61号）第67条の規定による輸入申告（輸入しようとする貨物が旅客又は乗組員の携帯品であるときに限る。）及び関税定率法施行令（昭和29年政令第155号）第14条第</w:t>
      </w:r>
      <w:r>
        <w:rPr>
          <w:rFonts w:ascii="Century" w:hAnsi="Century" w:eastAsia="ＭＳ 明朝" w:cs="Times New Roman"/>
          <w:kern w:val="2"/>
          <w:sz w:val="21"/>
        </w:rPr>
        <w:t>1</w:t>
      </w:r>
      <w:r>
        <w:rPr>
          <w:rFonts w:hint="eastAsia" w:ascii="Century" w:hAnsi="Century" w:eastAsia="ＭＳ 明朝" w:cs="Times New Roman"/>
          <w:kern w:val="2"/>
          <w:sz w:val="21"/>
        </w:rPr>
        <w:t>項に規定する申告をいう。</w:t>
      </w:r>
    </w:p>
    <w:p>
      <w:pPr>
        <w:ind w:left="430" w:leftChars="100" w:hanging="210" w:hangingChars="100"/>
        <w:jc w:val="both"/>
        <w:rPr>
          <w:rFonts w:ascii="Century" w:hAnsi="Century" w:eastAsia="ＭＳ 明朝" w:cs="Times New Roman"/>
          <w:kern w:val="2"/>
          <w:sz w:val="21"/>
        </w:rPr>
      </w:pPr>
      <w:r>
        <w:rPr>
          <w:rFonts w:hint="eastAsia" w:ascii="Century" w:hAnsi="Century" w:eastAsia="ＭＳ 明朝" w:cs="Times New Roman"/>
          <w:kern w:val="2"/>
          <w:sz w:val="21"/>
        </w:rPr>
        <w:t>⑶</w:t>
      </w:r>
      <w:r>
        <w:rPr>
          <w:rFonts w:ascii="Century" w:hAnsi="Century" w:eastAsia="ＭＳ 明朝" w:cs="Times New Roman"/>
          <w:kern w:val="2"/>
          <w:sz w:val="21"/>
        </w:rPr>
        <w:t>　</w:t>
      </w:r>
      <w:r>
        <w:rPr>
          <w:rFonts w:hint="eastAsia" w:ascii="Century" w:hAnsi="Century" w:eastAsia="ＭＳ 明朝" w:cs="Times New Roman"/>
          <w:kern w:val="2"/>
          <w:sz w:val="21"/>
        </w:rPr>
        <w:t>省令第3条の2に規定する税関の使用に係る電子計算機と電気通信回線を通じて通信できる機能を備えた電子計算機とは、税関検査場等に設置された電子申告端末（</w:t>
      </w:r>
      <w:r>
        <w:rPr>
          <w:rFonts w:ascii="Century" w:hAnsi="Century" w:eastAsia="ＭＳ 明朝" w:cs="Times New Roman"/>
          <w:kern w:val="2"/>
          <w:sz w:val="21"/>
        </w:rPr>
        <w:t>顔認証機能を有するか有しないかを問わない。</w:t>
      </w:r>
      <w:r>
        <w:rPr>
          <w:rFonts w:hint="eastAsia" w:ascii="Century" w:hAnsi="Century" w:eastAsia="ＭＳ 明朝" w:cs="Times New Roman"/>
          <w:kern w:val="2"/>
          <w:sz w:val="21"/>
        </w:rPr>
        <w:t>）をいう。</w:t>
      </w:r>
    </w:p>
    <w:p>
      <w:pPr>
        <w:ind w:left="220" w:leftChars="100"/>
        <w:jc w:val="both"/>
        <w:rPr>
          <w:rFonts w:ascii="Century" w:hAnsi="Century" w:eastAsia="ＭＳ 明朝" w:cs="Times New Roman"/>
          <w:kern w:val="2"/>
          <w:sz w:val="21"/>
        </w:rPr>
      </w:pPr>
      <w:r>
        <w:rPr>
          <w:rFonts w:hint="eastAsia" w:ascii="Century" w:hAnsi="Century" w:eastAsia="ＭＳ 明朝" w:cs="Times New Roman"/>
          <w:kern w:val="2"/>
          <w:sz w:val="21"/>
        </w:rPr>
        <w:t>（携帯品等の輸入申告手続）</w:t>
      </w:r>
    </w:p>
    <w:p>
      <w:pPr>
        <w:ind w:left="210" w:hanging="210" w:hangingChars="100"/>
        <w:jc w:val="both"/>
        <w:rPr>
          <w:rFonts w:ascii="Century" w:hAnsi="Century" w:eastAsia="ＭＳ 明朝" w:cs="Times New Roman"/>
          <w:kern w:val="2"/>
          <w:sz w:val="21"/>
        </w:rPr>
      </w:pPr>
      <w:r>
        <w:rPr>
          <w:rFonts w:hint="eastAsia" w:ascii="Century" w:hAnsi="Century" w:eastAsia="ＭＳ 明朝" w:cs="Times New Roman"/>
          <w:kern w:val="2"/>
          <w:sz w:val="21"/>
        </w:rPr>
        <w:t>２　電子申告ゲートを使用して行う携帯品等の輸入申告手続については、次による。</w:t>
      </w:r>
    </w:p>
    <w:p>
      <w:pPr>
        <w:ind w:left="430" w:leftChars="100" w:hanging="210" w:hangingChars="100"/>
        <w:jc w:val="both"/>
        <w:rPr>
          <w:rFonts w:ascii="Century" w:hAnsi="Century" w:eastAsia="ＭＳ 明朝" w:cs="Times New Roman"/>
          <w:kern w:val="2"/>
          <w:sz w:val="21"/>
        </w:rPr>
      </w:pPr>
      <w:r>
        <w:rPr>
          <w:rFonts w:hint="eastAsia" w:ascii="Century" w:hAnsi="Century" w:eastAsia="ＭＳ 明朝" w:cs="Times New Roman"/>
          <w:kern w:val="2"/>
          <w:sz w:val="21"/>
        </w:rPr>
        <w:t>⑴</w:t>
      </w:r>
      <w:r>
        <w:rPr>
          <w:rFonts w:ascii="Century" w:hAnsi="Century" w:eastAsia="ＭＳ 明朝" w:cs="Times New Roman"/>
          <w:kern w:val="2"/>
          <w:sz w:val="21"/>
        </w:rPr>
        <w:t>　モバイルアプリケーションにより作成された携帯品・別送品申告情報が含まれる二次元コード（以下「二次元コード」という。）を電子申告端末に読み取らせることにより行うよう申告者に求めるものとする。</w:t>
      </w:r>
    </w:p>
    <w:p>
      <w:pPr>
        <w:ind w:left="440" w:leftChars="200" w:firstLine="210" w:firstLineChars="100"/>
        <w:jc w:val="both"/>
        <w:rPr>
          <w:rFonts w:ascii="Century" w:hAnsi="Century" w:eastAsia="ＭＳ 明朝" w:cs="Times New Roman"/>
          <w:kern w:val="2"/>
          <w:sz w:val="21"/>
        </w:rPr>
      </w:pPr>
      <w:r>
        <w:rPr>
          <w:rFonts w:ascii="Century" w:hAnsi="Century" w:eastAsia="ＭＳ 明朝" w:cs="Times New Roman"/>
          <w:kern w:val="2"/>
          <w:sz w:val="21"/>
        </w:rPr>
        <w:t>なお、二次元コードの読取りに替えて携帯品・別送品申告情報を電子申告端末（顔認証機能を有するものに限る。）に直接入力させることができる。</w:t>
      </w:r>
    </w:p>
    <w:p>
      <w:pPr>
        <w:ind w:left="430" w:leftChars="100" w:hanging="210" w:hangingChars="100"/>
        <w:jc w:val="both"/>
        <w:rPr>
          <w:rFonts w:ascii="Century" w:hAnsi="Century" w:eastAsia="ＭＳ 明朝" w:cs="Times New Roman"/>
          <w:kern w:val="2"/>
          <w:sz w:val="21"/>
        </w:rPr>
      </w:pPr>
      <w:r>
        <w:rPr>
          <w:rFonts w:hint="eastAsia" w:ascii="Century" w:hAnsi="Century" w:eastAsia="ＭＳ 明朝" w:cs="Times New Roman"/>
          <w:kern w:val="2"/>
          <w:sz w:val="21"/>
        </w:rPr>
        <w:t>⑵</w:t>
      </w:r>
      <w:r>
        <w:rPr>
          <w:rFonts w:ascii="Century" w:hAnsi="Century" w:eastAsia="ＭＳ 明朝" w:cs="Times New Roman"/>
          <w:kern w:val="2"/>
          <w:sz w:val="21"/>
        </w:rPr>
        <w:t>　</w:t>
      </w:r>
      <w:r>
        <w:rPr>
          <w:rFonts w:hint="eastAsia" w:ascii="Century" w:hAnsi="Century" w:eastAsia="ＭＳ 明朝" w:cs="Times New Roman"/>
          <w:kern w:val="2"/>
          <w:sz w:val="21"/>
        </w:rPr>
        <w:t>別送品がある旨の情報が含まれた輸入申告を受理したときは、税関において、「携帯品・別送品申告書」（別紙様式）を1通印刷し、確認済の旨を記載して申告者に交付するものとする。</w:t>
      </w:r>
    </w:p>
    <w:p>
      <w:pPr>
        <w:ind w:left="440" w:leftChars="200" w:firstLine="210" w:firstLineChars="100"/>
        <w:jc w:val="both"/>
        <w:rPr>
          <w:rFonts w:ascii="Century" w:hAnsi="Century" w:eastAsia="ＭＳ 明朝" w:cs="Times New Roman"/>
          <w:kern w:val="2"/>
          <w:sz w:val="21"/>
        </w:rPr>
      </w:pPr>
      <w:r>
        <w:rPr>
          <w:rFonts w:hint="eastAsia" w:ascii="Century" w:hAnsi="Century" w:eastAsia="ＭＳ 明朝" w:cs="Times New Roman"/>
          <w:kern w:val="2"/>
          <w:sz w:val="21"/>
        </w:rPr>
        <w:t>なお、別送品を輸入する場合の申告手続については、関税法基本通達</w:t>
      </w:r>
      <w:r>
        <w:rPr>
          <w:rFonts w:ascii="Century" w:hAnsi="Century" w:eastAsia="ＭＳ 明朝" w:cs="Times New Roman"/>
          <w:kern w:val="2"/>
          <w:sz w:val="21"/>
        </w:rPr>
        <w:t>67</w:t>
      </w:r>
      <w:r>
        <w:rPr>
          <w:rFonts w:hint="eastAsia" w:ascii="Century" w:hAnsi="Century" w:eastAsia="ＭＳ 明朝" w:cs="Times New Roman"/>
          <w:kern w:val="2"/>
          <w:sz w:val="21"/>
        </w:rPr>
        <w:t>―</w:t>
      </w:r>
      <w:r>
        <w:rPr>
          <w:rFonts w:ascii="Century" w:hAnsi="Century" w:eastAsia="ＭＳ 明朝" w:cs="Times New Roman"/>
          <w:kern w:val="2"/>
          <w:sz w:val="21"/>
        </w:rPr>
        <w:t>4</w:t>
      </w:r>
      <w:r>
        <w:rPr>
          <w:rFonts w:hint="eastAsia" w:ascii="Century" w:hAnsi="Century" w:eastAsia="ＭＳ 明朝" w:cs="Times New Roman"/>
          <w:kern w:val="2"/>
          <w:sz w:val="21"/>
        </w:rPr>
        <w:t>―</w:t>
      </w:r>
      <w:r>
        <w:rPr>
          <w:rFonts w:ascii="Century" w:hAnsi="Century" w:eastAsia="ＭＳ 明朝" w:cs="Times New Roman"/>
          <w:kern w:val="2"/>
          <w:sz w:val="21"/>
        </w:rPr>
        <w:t>10</w:t>
      </w:r>
      <w:r>
        <w:rPr>
          <w:rFonts w:hint="eastAsia" w:ascii="Century" w:hAnsi="Century" w:eastAsia="ＭＳ 明朝" w:cs="Times New Roman"/>
          <w:kern w:val="2"/>
          <w:sz w:val="21"/>
        </w:rPr>
        <w:t>⑷の規定を準用する。</w:t>
      </w:r>
    </w:p>
    <w:p>
      <w:pPr>
        <w:ind w:left="430" w:leftChars="100" w:hanging="210" w:hangingChars="100"/>
        <w:jc w:val="both"/>
        <w:rPr>
          <w:rFonts w:ascii="Century" w:hAnsi="Century" w:eastAsia="ＭＳ 明朝" w:cs="Times New Roman"/>
          <w:kern w:val="2"/>
          <w:sz w:val="21"/>
        </w:rPr>
      </w:pPr>
      <w:r>
        <w:rPr>
          <w:rFonts w:hint="eastAsia" w:ascii="Century" w:hAnsi="Century" w:eastAsia="ＭＳ 明朝" w:cs="Times New Roman"/>
          <w:kern w:val="2"/>
          <w:sz w:val="21"/>
        </w:rPr>
        <w:t>⑶</w:t>
      </w:r>
      <w:r>
        <w:rPr>
          <w:rFonts w:ascii="Century" w:hAnsi="Century" w:eastAsia="ＭＳ 明朝" w:cs="Times New Roman"/>
          <w:kern w:val="2"/>
          <w:sz w:val="21"/>
        </w:rPr>
        <w:t>　</w:t>
      </w:r>
      <w:r>
        <w:rPr>
          <w:rFonts w:hint="eastAsia" w:ascii="Century" w:hAnsi="Century" w:eastAsia="ＭＳ 明朝" w:cs="Times New Roman"/>
          <w:kern w:val="2"/>
          <w:sz w:val="21"/>
        </w:rPr>
        <w:t>上記により輸入申告された携帯品･別送品申告情報の訂正は、原則として、申告者からの申出に基づき、税関において電子申告端末（顔認証機能を有しないもの。以下同じ。）にて行った上で申告者に訂正後の申告内容の確認を求めるか、申告者において電子申告端末にて行わせることにより認めることとする。ただし、やむを得ない事情等が認められる場合には、税関において訂正の上、訂正後の申告内容が記載された「携帯品・別送品申告書」を１通印刷し、申告者に訂正した内容を確認した旨の署名を求めた上で、訂正を認めることとする。</w:t>
      </w:r>
    </w:p>
    <w:p>
      <w:pPr>
        <w:ind w:left="440" w:leftChars="200" w:firstLine="210" w:firstLineChars="100"/>
        <w:jc w:val="both"/>
        <w:rPr>
          <w:rFonts w:ascii="Century" w:hAnsi="Century" w:eastAsia="ＭＳ 明朝" w:cs="Times New Roman"/>
          <w:kern w:val="2"/>
          <w:sz w:val="21"/>
        </w:rPr>
      </w:pPr>
      <w:r>
        <w:rPr>
          <w:rFonts w:hint="eastAsia" w:ascii="Century" w:hAnsi="Century" w:eastAsia="ＭＳ 明朝" w:cs="Times New Roman"/>
          <w:kern w:val="2"/>
          <w:sz w:val="21"/>
        </w:rPr>
        <w:t>なお、当該申告書は税関において保管するものとする。</w:t>
      </w:r>
    </w:p>
    <w:p>
      <w:pPr>
        <w:jc w:val="right"/>
      </w:pPr>
    </w:p>
    <w:p>
      <w:pPr>
        <w:sectPr>
          <w:pgSz w:w="11910" w:h="16840"/>
          <w:pgMar w:top="1600" w:right="740" w:bottom="280" w:left="960" w:header="720" w:footer="720" w:gutter="0"/>
          <w:cols w:space="720" w:num="1"/>
        </w:sectPr>
      </w:pPr>
    </w:p>
    <w:p>
      <w:pPr>
        <w:spacing w:before="65"/>
        <w:ind w:right="337"/>
        <w:jc w:val="right"/>
        <w:rPr>
          <w:rFonts w:ascii="AoyagiKouzanFontT" w:eastAsia="ＭＳ 明朝"/>
          <w:w w:val="95"/>
          <w:sz w:val="15"/>
        </w:rPr>
      </w:pPr>
      <w:r>
        <w:rPr>
          <w:rFonts w:hint="eastAsia" w:ascii="AoyagiKouzanFontT" w:eastAsia="AoyagiKouzanFontT"/>
          <w:w w:val="95"/>
          <w:sz w:val="15"/>
        </w:rPr>
        <w:t>別紙様式</w:t>
      </w:r>
    </w:p>
    <w:p>
      <w:pPr>
        <w:pStyle w:val="2"/>
        <w:spacing w:before="1"/>
        <w:rPr>
          <w:rFonts w:ascii="AoyagiKouzanFontT"/>
          <w:sz w:val="18"/>
        </w:rPr>
      </w:pPr>
    </w:p>
    <w:p>
      <w:pPr>
        <w:spacing w:before="56"/>
        <w:ind w:left="3765"/>
        <w:rPr>
          <w:rFonts w:ascii="Noto Sans CJK JP Medium" w:eastAsia="ＭＳ 明朝"/>
          <w:sz w:val="21"/>
        </w:rPr>
      </w:pPr>
      <w:r>
        <w:rPr>
          <w:rFonts w:ascii="Noto Sans CJK JP Medium" w:hAnsi="kiloji" w:eastAsia="ＭＳ 明朝" w:cs="kiloji"/>
          <w:sz w:val="21"/>
          <w:szCs w:val="22"/>
          <w:lang w:val="en-US" w:eastAsia="ja-JP" w:bidi="ar-SA"/>
        </w:rPr>
        <w:pict>
          <v:shape id="図 16" o:spid="_x0000_s1026" type="#_x0000_t75" style="position:absolute;left:0;margin-left:15.75pt;margin-top:19.85pt;height:761.5pt;width:471.75pt;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 r:id="rId5"/>
            <o:lock v:ext="edit" position="f" selection="f" grouping="f" rotation="f" cropping="f" text="f" aspectratio="t"/>
            <w10:wrap type="square"/>
          </v:shape>
        </w:pict>
      </w:r>
      <w:r>
        <w:rPr>
          <w:rFonts w:ascii="kiloji" w:hAnsi="kiloji" w:eastAsia="kiloji" w:cs="kiloji"/>
          <w:sz w:val="22"/>
          <w:szCs w:val="22"/>
          <w:lang w:val="en-US" w:eastAsia="ja-JP" w:bidi="ar-SA"/>
        </w:rPr>
        <w:pict>
          <v:shape id="image1.jpeg" o:spid="_x0000_s1027" type="#_x0000_t75" style="position:absolute;left:0;margin-left:54.35pt;margin-top:3.25pt;height:14.55pt;width:15.35pt;mso-position-horizontal-relative:page;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hint="eastAsia" w:ascii="Noto Sans CJK JP Medium" w:eastAsia="Noto Sans CJK JP Medium"/>
          <w:sz w:val="21"/>
        </w:rPr>
        <w:t>携帯品・別送品申告書</w:t>
      </w:r>
    </w:p>
    <w:p>
      <w:pPr>
        <w:rPr>
          <w:rFonts w:ascii="AoyagiKouzanFontT"/>
          <w:sz w:val="18"/>
        </w:rPr>
      </w:pPr>
    </w:p>
    <w:sectPr>
      <w:pgSz w:w="11910" w:h="16840"/>
      <w:pgMar w:top="80" w:right="740" w:bottom="280" w:left="9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kiloji">
    <w:altName w:val="ＭＳ ゴシック"/>
    <w:panose1 w:val="00000000000000000000"/>
    <w:charset w:val="00"/>
    <w:family w:val="auto"/>
    <w:pitch w:val="default"/>
    <w:sig w:usb0="00000000" w:usb1="00000000" w:usb2="00000000" w:usb3="00000000" w:csb0="00040001" w:csb1="00000000"/>
  </w:font>
  <w:font w:name="AoyagiKouzanFontT">
    <w:altName w:val="Times New Roman"/>
    <w:panose1 w:val="00000000000000000000"/>
    <w:charset w:val="00"/>
    <w:family w:val="auto"/>
    <w:pitch w:val="default"/>
    <w:sig w:usb0="00000000" w:usb1="00000000" w:usb2="00000000" w:usb3="00000000" w:csb0="00040001" w:csb1="00000000"/>
  </w:font>
  <w:font w:name="Noto Sans CJK JP Medium">
    <w:altName w:val="Arial"/>
    <w:panose1 w:val="00000000000000000000"/>
    <w:charset w:val="00"/>
    <w:family w:val="auto"/>
    <w:pitch w:val="default"/>
    <w:sig w:usb0="00000000" w:usb1="00000000" w:usb2="00000000" w:usb3="00000000" w:csb0="00040001"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B7B97"/>
    <w:rsid w:val="00103542"/>
    <w:rsid w:val="0026589F"/>
    <w:rsid w:val="002B7B97"/>
    <w:rsid w:val="00350C96"/>
    <w:rsid w:val="003E471B"/>
    <w:rsid w:val="00535C75"/>
    <w:rsid w:val="00714839"/>
    <w:rsid w:val="0096278F"/>
    <w:rsid w:val="00AE2F6A"/>
    <w:rsid w:val="00BE125E"/>
    <w:rsid w:val="00BF148A"/>
    <w:rsid w:val="0CA02145"/>
    <w:rsid w:val="1D076FE1"/>
    <w:rsid w:val="33D27309"/>
    <w:rsid w:val="37E86AAE"/>
    <w:rsid w:val="53EC2D5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kiloji" w:hAnsi="kiloji" w:eastAsia="kiloji" w:cs="kiloji"/>
      <w:sz w:val="22"/>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ody Text"/>
    <w:basedOn w:val="1"/>
    <w:qFormat/>
    <w:uiPriority w:val="1"/>
    <w:rPr>
      <w:sz w:val="24"/>
      <w:szCs w:val="24"/>
    </w:rPr>
  </w:style>
  <w:style w:type="paragraph" w:styleId="3">
    <w:name w:val="footer"/>
    <w:basedOn w:val="1"/>
    <w:link w:val="10"/>
    <w:unhideWhenUsed/>
    <w:uiPriority w:val="99"/>
    <w:pPr>
      <w:tabs>
        <w:tab w:val="center" w:pos="4252"/>
        <w:tab w:val="right" w:pos="8504"/>
      </w:tabs>
      <w:snapToGrid w:val="0"/>
    </w:pPr>
  </w:style>
  <w:style w:type="paragraph" w:styleId="4">
    <w:name w:val="header"/>
    <w:basedOn w:val="1"/>
    <w:link w:val="9"/>
    <w:unhideWhenUsed/>
    <w:uiPriority w:val="99"/>
    <w:pPr>
      <w:tabs>
        <w:tab w:val="center" w:pos="4252"/>
        <w:tab w:val="right" w:pos="8504"/>
      </w:tabs>
      <w:snapToGrid w:val="0"/>
    </w:pPr>
  </w:style>
  <w:style w:type="paragraph" w:customStyle="1" w:styleId="7">
    <w:name w:val="List Paragraph"/>
    <w:basedOn w:val="1"/>
    <w:qFormat/>
    <w:uiPriority w:val="1"/>
  </w:style>
  <w:style w:type="paragraph" w:customStyle="1" w:styleId="8">
    <w:name w:val="Table Paragraph"/>
    <w:basedOn w:val="1"/>
    <w:qFormat/>
    <w:uiPriority w:val="1"/>
    <w:rPr>
      <w:rFonts w:ascii="AoyagiKouzanFontT" w:hAnsi="AoyagiKouzanFontT" w:eastAsia="AoyagiKouzanFontT" w:cs="AoyagiKouzanFontT"/>
    </w:rPr>
  </w:style>
  <w:style w:type="character" w:customStyle="1" w:styleId="9">
    <w:name w:val="ヘッダー (文字)"/>
    <w:basedOn w:val="5"/>
    <w:link w:val="4"/>
    <w:uiPriority w:val="99"/>
    <w:rPr>
      <w:rFonts w:ascii="kiloji" w:hAnsi="kiloji" w:eastAsia="kiloji" w:cs="kiloji"/>
      <w:lang w:eastAsia="ja-JP"/>
    </w:rPr>
  </w:style>
  <w:style w:type="character" w:customStyle="1" w:styleId="10">
    <w:name w:val="フッター (文字)"/>
    <w:basedOn w:val="5"/>
    <w:link w:val="3"/>
    <w:uiPriority w:val="99"/>
    <w:rPr>
      <w:rFonts w:ascii="kiloji" w:hAnsi="kiloji" w:eastAsia="kiloji" w:cs="kiloji"/>
      <w:lang w:eastAsia="ja-JP"/>
    </w:rPr>
  </w:style>
  <w:style w:type="table" w:customStyle="1" w:styleId="11">
    <w:name w:val="Table Normal"/>
    <w:unhideWhenUsed/>
    <w:qFormat/>
    <w:uiPriority w:val="2"/>
    <w:tblPr>
      <w:tblStyle w:val="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Words>
  <Characters>1026</Characters>
  <Lines>8</Lines>
  <Paragraphs>2</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2022-04-01T03:44:00Z</dcterms:created>
  <dc:creator>財務省</dc:creator>
  <cp:lastModifiedBy>恒久</cp:lastModifiedBy>
  <dcterms:modified xsi:type="dcterms:W3CDTF">2024-04-06T23:53:39Z</dcterms:modified>
  <dc:title>税関検査場電子申告ゲートを使用して行う税関業務の取扱いについて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PScript5.dll Version 5.2.2</vt:lpwstr>
  </property>
  <property fmtid="{D5CDD505-2E9C-101B-9397-08002B2CF9AE}" pid="4" name="LastSaved">
    <vt:filetime>2020-04-06T00:00:00Z</vt:filetime>
  </property>
  <property fmtid="{D5CDD505-2E9C-101B-9397-08002B2CF9AE}" pid="5" name="KSOProductBuildVer">
    <vt:lpwstr>1041-9.1.0.4922</vt:lpwstr>
  </property>
</Properties>
</file>