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Fonts w:hint="eastAsia"/>
        </w:rPr>
        <w:t>ロシア連邦を原産地又は船積地域とする貨物の輸入の禁止措置に伴う税関の対応について</w:t>
      </w:r>
    </w:p>
    <w:p>
      <w:pPr>
        <w:rPr>
          <w:rFonts w:hint="eastAsia"/>
        </w:rPr>
      </w:pPr>
    </w:p>
    <w:p>
      <w:pPr>
        <w:ind w:firstLine="840"/>
      </w:pPr>
      <w:r>
        <w:rPr>
          <w:rFonts w:hint="eastAsia"/>
        </w:rPr>
        <w:t>令和4年4月</w:t>
      </w:r>
      <w:r>
        <w:t>12</w:t>
      </w:r>
      <w:r>
        <w:rPr>
          <w:rFonts w:hint="eastAsia"/>
        </w:rPr>
        <w:t>日財関第</w:t>
      </w:r>
      <w:r>
        <w:t>251</w:t>
      </w:r>
      <w:r>
        <w:rPr>
          <w:rFonts w:hint="eastAsia"/>
        </w:rPr>
        <w:t>号</w:t>
      </w:r>
    </w:p>
    <w:p/>
    <w:p>
      <w:pPr>
        <w:rPr>
          <w:rFonts w:hint="eastAsia"/>
        </w:rPr>
      </w:pPr>
    </w:p>
    <w:p>
      <w:pPr>
        <w:ind w:firstLine="210" w:firstLineChars="100"/>
        <w:rPr>
          <w:rFonts w:hint="eastAsia"/>
        </w:rPr>
      </w:pPr>
      <w:r>
        <w:rPr>
          <w:rFonts w:hint="eastAsia"/>
        </w:rPr>
        <w:t>ウクライナをめぐる現下の情勢に鑑み、この問題の解決を目指す国際平和のための国際的な努力に我が国として寄与するため、主要国が講ずることとした措置の内容に沿い、外国為替及び外国貿易法（昭和24年法律第228号）により、ロシア連邦からの一部物品の輸入禁止措置を実施することが決定され、本日（</w:t>
      </w:r>
      <w:r>
        <w:t>4</w:t>
      </w:r>
      <w:r>
        <w:rPr>
          <w:rFonts w:hint="eastAsia"/>
        </w:rPr>
        <w:t>月12日）、「ロシア連邦関係者に対する資産凍結等の措置等について」が閣議了解されたところである。</w:t>
      </w:r>
    </w:p>
    <w:p>
      <w:pPr>
        <w:ind w:firstLine="210" w:firstLineChars="100"/>
        <w:rPr>
          <w:rFonts w:hint="eastAsia"/>
        </w:rPr>
      </w:pPr>
      <w:r>
        <w:rPr>
          <w:rFonts w:hint="eastAsia"/>
        </w:rPr>
        <w:t>これを受けて、ロシア連邦を原産地又は船積地域とする貨物の輸入の禁止措置を実施するため、輸入公表の一部を改正する経済産業省告示等が４月19日から施行される。</w:t>
      </w:r>
    </w:p>
    <w:p>
      <w:pPr>
        <w:ind w:firstLine="210" w:firstLineChars="100"/>
      </w:pPr>
      <w:r>
        <w:rPr>
          <w:rFonts w:hint="eastAsia"/>
        </w:rPr>
        <w:t>税関においては、経済産業省貿易経済協力局長からの通知（別紙）を踏まえ、関係省庁との連携を密にし、本輸入の禁止措置の実効性の確保に努めるため、下記により実施されたい。</w:t>
      </w:r>
    </w:p>
    <w:p>
      <w:pPr>
        <w:ind w:firstLine="210" w:firstLineChars="100"/>
        <w:rPr>
          <w:rFonts w:hint="eastAsia"/>
        </w:rPr>
      </w:pPr>
    </w:p>
    <w:p>
      <w:pPr>
        <w:jc w:val="center"/>
      </w:pPr>
      <w:r>
        <w:rPr>
          <w:rFonts w:hint="eastAsia"/>
        </w:rPr>
        <w:t>記</w:t>
      </w:r>
    </w:p>
    <w:p>
      <w:pPr>
        <w:ind w:left="210" w:hanging="210" w:hangingChars="100"/>
      </w:pPr>
    </w:p>
    <w:p>
      <w:pPr>
        <w:ind w:left="210" w:hanging="210" w:hangingChars="100"/>
        <w:rPr>
          <w:rFonts w:hint="eastAsia"/>
        </w:rPr>
      </w:pPr>
      <w:r>
        <w:rPr>
          <w:rFonts w:hint="eastAsia"/>
        </w:rPr>
        <w:t>１．税関における審査に際しては、通関関係書類等により貨物の原産地及び船積地域を確認するとともに、検査に際しては、貨物等に付された表記等により貨物の原産地を確認することとし、経済産業省と緊密に連携することにより、本輸入の禁止措置の実効性を確保すること。</w:t>
      </w:r>
    </w:p>
    <w:p>
      <w:pPr>
        <w:ind w:left="210" w:hanging="210" w:hangingChars="100"/>
        <w:rPr>
          <w:rFonts w:hint="eastAsia"/>
        </w:rPr>
      </w:pPr>
      <w:r>
        <w:rPr>
          <w:rFonts w:hint="eastAsia"/>
        </w:rPr>
        <w:t>２．上記により適正な通関の徹底を図るほか、輸入事後調査を的確に実施し、違法行為が発見された場合には厳正に対処すること。また、関係省庁や関係機関との緊密な情報交換及び連携並びに通関業者、倉庫業者等の関係業者などからの情報収集について、一層の充実を図ること。</w:t>
      </w:r>
    </w:p>
    <w:p>
      <w:pPr>
        <w:widowControl/>
        <w:jc w:val="left"/>
      </w:pPr>
      <w:r>
        <w:br w:type="page"/>
      </w:r>
    </w:p>
    <w:p>
      <w:pPr>
        <w:autoSpaceDN w:val="0"/>
        <w:ind w:left="210" w:hanging="210" w:hangingChars="100"/>
      </w:pPr>
    </w:p>
    <w:p>
      <w:pPr>
        <w:jc w:val="right"/>
      </w:pPr>
      <w:r>
        <w:rPr>
          <w:rFonts w:hint="eastAsia"/>
        </w:rPr>
        <w:t>別紙</w:t>
      </w:r>
    </w:p>
    <w:p/>
    <w:p>
      <w:pPr>
        <w:autoSpaceDN w:val="0"/>
        <w:jc w:val="right"/>
      </w:pPr>
      <w:r>
        <w:rPr>
          <w:rFonts w:hint="eastAsia"/>
        </w:rPr>
        <w:t>令和</w:t>
      </w:r>
      <w:r>
        <w:t>4</w:t>
      </w:r>
      <w:r>
        <w:rPr>
          <w:rFonts w:hint="eastAsia"/>
        </w:rPr>
        <w:t>年4月12日20220408貿局第2号</w:t>
      </w:r>
    </w:p>
    <w:p>
      <w:pPr>
        <w:autoSpaceDN w:val="0"/>
      </w:pPr>
    </w:p>
    <w:p>
      <w:pPr>
        <w:autoSpaceDN w:val="0"/>
      </w:pPr>
      <w:r>
        <w:rPr>
          <w:rFonts w:hint="eastAsia"/>
        </w:rPr>
        <w:t>財務省関税局長　殿</w:t>
      </w:r>
    </w:p>
    <w:p>
      <w:pPr>
        <w:autoSpaceDN w:val="0"/>
      </w:pPr>
    </w:p>
    <w:p>
      <w:pPr>
        <w:autoSpaceDN w:val="0"/>
        <w:jc w:val="right"/>
      </w:pPr>
      <w:r>
        <w:rPr>
          <w:rFonts w:hint="eastAsia"/>
        </w:rPr>
        <w:t>経済産業省貿易経済協力局長</w:t>
      </w:r>
    </w:p>
    <w:p>
      <w:pPr>
        <w:autoSpaceDN w:val="0"/>
      </w:pPr>
    </w:p>
    <w:p>
      <w:pPr>
        <w:autoSpaceDN w:val="0"/>
        <w:jc w:val="center"/>
      </w:pPr>
      <w:r>
        <w:rPr>
          <w:rFonts w:hint="eastAsia"/>
        </w:rPr>
        <w:t>ロシアに対する輸入禁止措置について</w:t>
      </w:r>
    </w:p>
    <w:p>
      <w:pPr>
        <w:autoSpaceDN w:val="0"/>
        <w:jc w:val="center"/>
      </w:pPr>
    </w:p>
    <w:p>
      <w:pPr>
        <w:autoSpaceDN w:val="0"/>
        <w:ind w:firstLine="210" w:firstLineChars="100"/>
      </w:pPr>
      <w:r>
        <w:rPr>
          <w:rFonts w:hint="eastAsia"/>
        </w:rPr>
        <w:t>上記の件について､令和4年4月12日付け閣議了解に基づき、別紙のとおり告示されることになるため、税関においても本改正の趣旨を踏まえ当省と連携の上、御対応方よろしくお願いいたします。</w:t>
      </w:r>
    </w:p>
    <w:p>
      <w:pPr>
        <w:autoSpaceDN w:val="0"/>
        <w:ind w:firstLine="210" w:firstLineChars="100"/>
        <w:sectPr>
          <w:pgSz w:w="11906" w:h="16838"/>
          <w:pgMar w:top="1985" w:right="1701" w:bottom="1701" w:left="1701" w:header="851" w:footer="992" w:gutter="0"/>
          <w:cols w:space="720" w:num="1"/>
          <w:docGrid w:type="lines" w:linePitch="360" w:charSpace="0"/>
        </w:sectPr>
      </w:pPr>
    </w:p>
    <w:p>
      <w:r>
        <w:rPr>
          <w:rFonts w:hint="eastAsia"/>
        </w:rPr>
        <w:t>○経済産業省告示第九十七号</w:t>
      </w:r>
    </w:p>
    <w:p>
      <w:pPr>
        <w:ind w:firstLine="210" w:firstLineChars="100"/>
      </w:pPr>
      <w:r>
        <w:rPr>
          <w:rFonts w:hint="eastAsia"/>
        </w:rPr>
        <w:t>輸入貿易管理令（昭和二十四年政令第四百十四号）第三条第一項の規定に基づき、昭和四十一年通商産業省告示第百七十号（輸入割当てを受けるべき貨物の品目、輸入の承認を受けるべき貨物の原産地又は船積地域その他貨物の輸入について必要な事項の公表）の一部を次のように改正する。</w:t>
      </w:r>
    </w:p>
    <w:p>
      <w:pPr>
        <w:ind w:left="420" w:leftChars="200"/>
      </w:pPr>
      <w:r>
        <w:rPr>
          <w:rFonts w:hint="eastAsia"/>
        </w:rPr>
        <w:t>令和四年令和四年四月十二日</w:t>
      </w:r>
      <w:r>
        <w:tab/>
      </w:r>
      <w:r>
        <w:tab/>
      </w:r>
      <w:r>
        <w:tab/>
      </w:r>
      <w:r>
        <w:tab/>
      </w:r>
      <w:r>
        <w:tab/>
      </w:r>
      <w:r>
        <w:tab/>
      </w:r>
      <w:r>
        <w:tab/>
      </w:r>
      <w:r>
        <w:tab/>
      </w:r>
      <w:r>
        <w:tab/>
      </w:r>
      <w:r>
        <w:rPr>
          <w:rFonts w:hint="eastAsia"/>
        </w:rPr>
        <w:t>経済産業大臣　萩生田光一</w:t>
      </w:r>
    </w:p>
    <w:p>
      <w:pPr>
        <w:ind w:left="420" w:leftChars="200"/>
      </w:pPr>
    </w:p>
    <w:p>
      <w:pPr>
        <w:ind w:firstLine="210" w:firstLineChars="100"/>
      </w:pPr>
      <w:r>
        <w:rPr>
          <w:rFonts w:hint="eastAsia"/>
        </w:rPr>
        <w:t>次の表により、改正後欄に二重下線を付した規定で改正前欄にこれに対応するものを掲げていないものは、これを加える。</w:t>
      </w:r>
    </w:p>
    <w:tbl>
      <w:tblPr>
        <w:tblStyle w:val="9"/>
        <w:tblW w:w="130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6"/>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6" w:type="dxa"/>
            <w:tcBorders>
              <w:bottom w:val="single" w:color="auto" w:sz="4" w:space="0"/>
            </w:tcBorders>
            <w:textDirection w:val="lrTbV"/>
            <w:vAlign w:val="top"/>
          </w:tcPr>
          <w:p>
            <w:pPr>
              <w:jc w:val="center"/>
            </w:pPr>
            <w:bookmarkStart w:id="0" w:name="_GoBack" w:colFirst="0" w:colLast="1"/>
            <w:r>
              <w:rPr>
                <w:rFonts w:hint="eastAsia"/>
              </w:rPr>
              <w:t>改　正　後</w:t>
            </w:r>
          </w:p>
        </w:tc>
        <w:tc>
          <w:tcPr>
            <w:tcW w:w="6520" w:type="dxa"/>
            <w:tcBorders>
              <w:bottom w:val="single" w:color="auto" w:sz="4" w:space="0"/>
            </w:tcBorders>
            <w:textDirection w:val="lrTbV"/>
            <w:vAlign w:val="top"/>
          </w:tcPr>
          <w:p>
            <w:pPr>
              <w:jc w:val="center"/>
            </w:pPr>
            <w:r>
              <w:rPr>
                <w:rFonts w:hint="eastAsia"/>
              </w:rPr>
              <w:t>改</w:t>
            </w:r>
            <w:r>
              <w:rPr>
                <w:rFonts w:hint="eastAsia"/>
                <w:lang w:eastAsia="ja-JP"/>
              </w:rPr>
              <w:t>　</w:t>
            </w:r>
            <w:r>
              <w:rPr>
                <w:rFonts w:hint="eastAsia"/>
              </w:rPr>
              <w:t>正</w:t>
            </w:r>
            <w:r>
              <w:rPr>
                <w:rFonts w:hint="eastAsia"/>
                <w:lang w:eastAsia="ja-JP"/>
              </w:rPr>
              <w:t>　</w:t>
            </w:r>
            <w:r>
              <w:rPr>
                <w:rFonts w:hint="eastAsia"/>
              </w:rPr>
              <w:t>前</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5" w:hRule="atLeast"/>
        </w:trPr>
        <w:tc>
          <w:tcPr>
            <w:tcW w:w="6516" w:type="dxa"/>
            <w:tcBorders>
              <w:bottom w:val="nil"/>
            </w:tcBorders>
            <w:textDirection w:val="lrTbV"/>
            <w:vAlign w:val="top"/>
          </w:tcPr>
          <w:p>
            <w:pPr>
              <w:ind w:left="210" w:hanging="210" w:hangingChars="100"/>
            </w:pPr>
            <w:r>
              <w:rPr>
                <w:rFonts w:hint="eastAsia"/>
              </w:rPr>
              <w:t>二　輸入貿易管理令（以下「令」という。）第四条第一項第二号の規定による輸入の承認（全地域を原産地又は船積地域とする貨物の輸入に係る承認を除く。以下「二号承認」という。）を受けるべき場合は、次の表の第一に掲げる貨物及び同表の第二に掲げる貨物を輸入するときとする。</w:t>
            </w:r>
          </w:p>
        </w:tc>
        <w:tc>
          <w:tcPr>
            <w:tcW w:w="6520" w:type="dxa"/>
            <w:tcBorders>
              <w:bottom w:val="nil"/>
            </w:tcBorders>
            <w:textDirection w:val="lrTbV"/>
            <w:vAlign w:val="top"/>
          </w:tcPr>
          <w:p>
            <w:pPr>
              <w:ind w:left="210" w:hanging="210" w:hangingChars="100"/>
            </w:pPr>
            <w:r>
              <w:rPr>
                <w:rFonts w:hint="eastAsia"/>
              </w:rPr>
              <w:t>二　輸入貿易管理令（以下「令」という。）第四条第一項第二号の規定による輸入の承認（全地域を原産地又は船積地域とする貨物の輸入に係る承認を除く。以下「二号承認」という。）を受けるべき場合は、次の表の第一に掲げる貨物及び同表の第二に掲げる貨物を輸入するときとす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rPr>
        <w:tc>
          <w:tcPr>
            <w:tcW w:w="6516" w:type="dxa"/>
            <w:tcBorders>
              <w:top w:val="nil"/>
              <w:bottom w:val="nil"/>
            </w:tcBorders>
            <w:vAlign w:val="top"/>
          </w:tcPr>
          <w:p>
            <w:pPr>
              <w:ind w:left="420" w:hanging="420" w:hangingChars="200"/>
            </w:pPr>
            <w:r>
              <w:rPr>
                <w:rFonts w:hint="eastAsia"/>
              </w:rPr>
              <w:t>第１　次の表の左欄に掲げる地域を原産地又は船積地域とする同表の右欄に掲げる貨物</w:t>
            </w:r>
          </w:p>
        </w:tc>
        <w:tc>
          <w:tcPr>
            <w:tcW w:w="6520" w:type="dxa"/>
            <w:tcBorders>
              <w:top w:val="nil"/>
              <w:bottom w:val="nil"/>
            </w:tcBorders>
            <w:vAlign w:val="top"/>
          </w:tcPr>
          <w:p>
            <w:pPr>
              <w:ind w:left="420" w:hanging="420" w:hangingChars="200"/>
            </w:pPr>
            <w:r>
              <w:rPr>
                <w:rFonts w:hint="eastAsia"/>
              </w:rPr>
              <w:t>第１　次の表の左欄に掲げる地域を原産地又は船積地域とする同表の右欄に掲げる貨物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6" w:type="dxa"/>
            <w:tcBorders>
              <w:top w:val="nil"/>
              <w:bottom w:val="nil"/>
            </w:tcBorders>
            <w:vAlign w:val="top"/>
          </w:tcPr>
          <w:tbl>
            <w:tblPr>
              <w:tblStyle w:val="9"/>
              <w:tblW w:w="13096"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851"/>
              <w:gridCol w:w="1134"/>
              <w:gridCol w:w="2693"/>
              <w:gridCol w:w="6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1559" w:type="dxa"/>
                  <w:vMerge w:val="restart"/>
                  <w:vAlign w:val="center"/>
                </w:tcPr>
                <w:p>
                  <w:pPr>
                    <w:jc w:val="center"/>
                  </w:pPr>
                  <w:r>
                    <w:rPr>
                      <w:rFonts w:hint="eastAsia"/>
                    </w:rPr>
                    <w:t>地　域</w:t>
                  </w:r>
                </w:p>
              </w:tc>
              <w:tc>
                <w:tcPr>
                  <w:tcW w:w="4678" w:type="dxa"/>
                  <w:gridSpan w:val="3"/>
                  <w:vAlign w:val="top"/>
                </w:tcPr>
                <w:p>
                  <w:pPr>
                    <w:jc w:val="center"/>
                  </w:pPr>
                  <w:r>
                    <w:rPr>
                      <w:rFonts w:hint="eastAsia"/>
                    </w:rPr>
                    <w:t>貨　　　　　　物</w:t>
                  </w:r>
                </w:p>
              </w:tc>
              <w:tc>
                <w:tcPr>
                  <w:tcW w:w="6859" w:type="dxa"/>
                  <w:vMerge w:val="restart"/>
                  <w:tcBorders>
                    <w:top w:val="nil"/>
                    <w:bottom w:val="nil"/>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1559" w:type="dxa"/>
                  <w:vMerge w:val="continue"/>
                  <w:vAlign w:val="top"/>
                </w:tcPr>
                <w:p/>
              </w:tc>
              <w:tc>
                <w:tcPr>
                  <w:tcW w:w="851" w:type="dxa"/>
                  <w:vAlign w:val="top"/>
                </w:tcPr>
                <w:p>
                  <w:pPr>
                    <w:jc w:val="center"/>
                  </w:pPr>
                  <w:r>
                    <w:rPr>
                      <w:rFonts w:hint="eastAsia"/>
                    </w:rPr>
                    <w:t>項目</w:t>
                  </w:r>
                </w:p>
                <w:p>
                  <w:pPr>
                    <w:jc w:val="center"/>
                  </w:pPr>
                  <w:r>
                    <w:rPr>
                      <w:rFonts w:hint="eastAsia"/>
                    </w:rPr>
                    <w:t>番号</w:t>
                  </w:r>
                </w:p>
              </w:tc>
              <w:tc>
                <w:tcPr>
                  <w:tcW w:w="1134" w:type="dxa"/>
                  <w:vAlign w:val="top"/>
                </w:tcPr>
                <w:p>
                  <w:pPr>
                    <w:jc w:val="center"/>
                  </w:pPr>
                  <w:r>
                    <w:rPr>
                      <w:rFonts w:hint="eastAsia"/>
                    </w:rPr>
                    <w:t>関税率表</w:t>
                  </w:r>
                </w:p>
                <w:p>
                  <w:pPr>
                    <w:jc w:val="center"/>
                  </w:pPr>
                  <w:r>
                    <w:rPr>
                      <w:rFonts w:hint="eastAsia"/>
                    </w:rPr>
                    <w:t>の番号等</w:t>
                  </w:r>
                </w:p>
              </w:tc>
              <w:tc>
                <w:tcPr>
                  <w:tcW w:w="2693" w:type="dxa"/>
                  <w:vAlign w:val="center"/>
                </w:tcPr>
                <w:p>
                  <w:pPr>
                    <w:jc w:val="center"/>
                  </w:pPr>
                  <w:r>
                    <w:rPr>
                      <w:rFonts w:hint="eastAsia"/>
                    </w:rPr>
                    <w:t>貨　物　名</w:t>
                  </w:r>
                </w:p>
              </w:tc>
              <w:tc>
                <w:tcPr>
                  <w:tcW w:w="6859" w:type="dxa"/>
                  <w:vMerge w:val="continue"/>
                  <w:tcBorders>
                    <w:top w:val="nil"/>
                    <w:bottom w:val="nil"/>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1559" w:type="dxa"/>
                  <w:vAlign w:val="top"/>
                </w:tcPr>
                <w:p>
                  <w:r>
                    <w:t>[</w:t>
                  </w:r>
                  <w:r>
                    <w:rPr>
                      <w:rFonts w:hint="eastAsia"/>
                    </w:rPr>
                    <w:t>略</w:t>
                  </w:r>
                  <w:r>
                    <w:t>]</w:t>
                  </w:r>
                </w:p>
              </w:tc>
              <w:tc>
                <w:tcPr>
                  <w:tcW w:w="851" w:type="dxa"/>
                  <w:vAlign w:val="top"/>
                </w:tcPr>
                <w:p>
                  <w:r>
                    <w:t>[</w:t>
                  </w:r>
                  <w:r>
                    <w:rPr>
                      <w:rFonts w:hint="eastAsia"/>
                    </w:rPr>
                    <w:t>略</w:t>
                  </w:r>
                  <w:r>
                    <w:t>]</w:t>
                  </w:r>
                </w:p>
              </w:tc>
              <w:tc>
                <w:tcPr>
                  <w:tcW w:w="1134" w:type="dxa"/>
                  <w:vAlign w:val="top"/>
                </w:tcPr>
                <w:p>
                  <w:r>
                    <w:t>[</w:t>
                  </w:r>
                  <w:r>
                    <w:rPr>
                      <w:rFonts w:hint="eastAsia"/>
                    </w:rPr>
                    <w:t>略</w:t>
                  </w:r>
                  <w:r>
                    <w:t>]</w:t>
                  </w:r>
                </w:p>
              </w:tc>
              <w:tc>
                <w:tcPr>
                  <w:tcW w:w="2693" w:type="dxa"/>
                  <w:vAlign w:val="top"/>
                </w:tcPr>
                <w:p>
                  <w:r>
                    <w:t>[</w:t>
                  </w:r>
                  <w:r>
                    <w:rPr>
                      <w:rFonts w:hint="eastAsia"/>
                    </w:rPr>
                    <w:t>略</w:t>
                  </w:r>
                  <w:r>
                    <w:t>]</w:t>
                  </w:r>
                </w:p>
              </w:tc>
              <w:tc>
                <w:tcPr>
                  <w:tcW w:w="6859" w:type="dxa"/>
                  <w:vMerge w:val="continue"/>
                  <w:tcBorders>
                    <w:top w:val="nil"/>
                    <w:bottom w:val="nil"/>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1559" w:type="dxa"/>
                  <w:vMerge w:val="restart"/>
                  <w:vAlign w:val="top"/>
                </w:tcPr>
                <w:p>
                  <w:r>
                    <w:rPr>
                      <w:rFonts w:hint="eastAsia"/>
                    </w:rPr>
                    <w:t>ロシア</w:t>
                  </w:r>
                </w:p>
              </w:tc>
              <w:tc>
                <w:tcPr>
                  <w:tcW w:w="851" w:type="dxa"/>
                  <w:vAlign w:val="top"/>
                </w:tcPr>
                <w:p>
                  <w:pPr>
                    <w:jc w:val="center"/>
                    <w:rPr>
                      <w:u w:val="double"/>
                    </w:rPr>
                  </w:pPr>
                  <w:r>
                    <w:rPr>
                      <w:u w:val="double"/>
                    </w:rPr>
                    <w:t>1</w:t>
                  </w:r>
                </w:p>
              </w:tc>
              <w:tc>
                <w:tcPr>
                  <w:tcW w:w="1134" w:type="dxa"/>
                  <w:vAlign w:val="top"/>
                </w:tcPr>
                <w:p>
                  <w:pPr>
                    <w:jc w:val="center"/>
                    <w:rPr>
                      <w:rFonts w:hint="eastAsia"/>
                      <w:u w:val="double"/>
                    </w:rPr>
                  </w:pPr>
                  <w:r>
                    <w:rPr>
                      <w:rFonts w:hint="eastAsia"/>
                      <w:u w:val="double"/>
                    </w:rPr>
                    <w:t>22･03</w:t>
                  </w:r>
                </w:p>
                <w:p>
                  <w:pPr>
                    <w:jc w:val="center"/>
                    <w:rPr>
                      <w:rFonts w:hint="eastAsia"/>
                      <w:u w:val="double"/>
                    </w:rPr>
                  </w:pPr>
                  <w:r>
                    <w:rPr>
                      <w:rFonts w:hint="eastAsia"/>
                      <w:u w:val="double"/>
                    </w:rPr>
                    <w:t>22･04</w:t>
                  </w:r>
                </w:p>
                <w:p>
                  <w:pPr>
                    <w:jc w:val="center"/>
                    <w:rPr>
                      <w:rFonts w:hint="eastAsia"/>
                      <w:u w:val="double"/>
                    </w:rPr>
                  </w:pPr>
                  <w:r>
                    <w:rPr>
                      <w:rFonts w:hint="eastAsia"/>
                      <w:u w:val="double"/>
                    </w:rPr>
                    <w:t>22･05</w:t>
                  </w:r>
                </w:p>
                <w:p>
                  <w:pPr>
                    <w:jc w:val="center"/>
                    <w:rPr>
                      <w:rFonts w:hint="eastAsia"/>
                      <w:u w:val="double"/>
                    </w:rPr>
                  </w:pPr>
                  <w:r>
                    <w:rPr>
                      <w:rFonts w:hint="eastAsia"/>
                      <w:u w:val="double"/>
                    </w:rPr>
                    <w:t>22･06</w:t>
                  </w:r>
                </w:p>
                <w:p>
                  <w:pPr>
                    <w:jc w:val="center"/>
                    <w:rPr>
                      <w:rFonts w:hint="eastAsia"/>
                      <w:u w:val="double"/>
                    </w:rPr>
                  </w:pPr>
                  <w:r>
                    <w:rPr>
                      <w:rFonts w:hint="eastAsia"/>
                      <w:u w:val="double"/>
                    </w:rPr>
                    <w:t>2207･10</w:t>
                  </w:r>
                </w:p>
                <w:p>
                  <w:pPr>
                    <w:jc w:val="center"/>
                    <w:rPr>
                      <w:u w:val="double"/>
                    </w:rPr>
                  </w:pPr>
                  <w:r>
                    <w:rPr>
                      <w:rFonts w:hint="eastAsia"/>
                      <w:u w:val="double"/>
                    </w:rPr>
                    <w:t>22･08</w:t>
                  </w:r>
                </w:p>
              </w:tc>
              <w:tc>
                <w:tcPr>
                  <w:tcW w:w="2693" w:type="dxa"/>
                  <w:vAlign w:val="top"/>
                </w:tcPr>
                <w:p>
                  <w:pPr>
                    <w:rPr>
                      <w:u w:val="double"/>
                    </w:rPr>
                  </w:pPr>
                  <w:r>
                    <w:rPr>
                      <w:rFonts w:hint="eastAsia"/>
                      <w:u w:val="double"/>
                    </w:rPr>
                    <w:t>アルコール飲料</w:t>
                  </w:r>
                </w:p>
              </w:tc>
              <w:tc>
                <w:tcPr>
                  <w:tcW w:w="6859" w:type="dxa"/>
                  <w:vMerge w:val="continue"/>
                  <w:tcBorders>
                    <w:top w:val="nil"/>
                    <w:bottom w:val="nil"/>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1559" w:type="dxa"/>
                  <w:vMerge w:val="continue"/>
                  <w:vAlign w:val="top"/>
                </w:tcPr>
                <w:p>
                  <w:pPr>
                    <w:rPr>
                      <w:rFonts w:hint="eastAsia"/>
                    </w:rPr>
                  </w:pPr>
                </w:p>
              </w:tc>
              <w:tc>
                <w:tcPr>
                  <w:tcW w:w="851" w:type="dxa"/>
                  <w:vAlign w:val="top"/>
                </w:tcPr>
                <w:p>
                  <w:pPr>
                    <w:jc w:val="center"/>
                    <w:rPr>
                      <w:u w:val="double"/>
                    </w:rPr>
                  </w:pPr>
                  <w:r>
                    <w:rPr>
                      <w:rFonts w:hint="eastAsia" w:ascii="ＭＳ 明朝" w:hAnsi="ＭＳ 明朝" w:eastAsia="ＭＳ 明朝" w:cs="ＭＳ 明朝"/>
                      <w:u w:val="double"/>
                    </w:rPr>
                    <w:t>2</w:t>
                  </w:r>
                </w:p>
              </w:tc>
              <w:tc>
                <w:tcPr>
                  <w:tcW w:w="1134" w:type="dxa"/>
                  <w:vAlign w:val="top"/>
                </w:tcPr>
                <w:p>
                  <w:pPr>
                    <w:jc w:val="center"/>
                    <w:rPr>
                      <w:rFonts w:hint="eastAsia"/>
                      <w:u w:val="double"/>
                    </w:rPr>
                  </w:pPr>
                  <w:r>
                    <w:rPr>
                      <w:rFonts w:hint="eastAsia"/>
                      <w:u w:val="double"/>
                    </w:rPr>
                    <w:t>4401･21</w:t>
                  </w:r>
                </w:p>
                <w:p>
                  <w:pPr>
                    <w:jc w:val="center"/>
                    <w:rPr>
                      <w:rFonts w:hint="eastAsia"/>
                      <w:u w:val="double"/>
                    </w:rPr>
                  </w:pPr>
                  <w:r>
                    <w:rPr>
                      <w:rFonts w:hint="eastAsia"/>
                      <w:u w:val="double"/>
                    </w:rPr>
                    <w:t>4401･22</w:t>
                  </w:r>
                </w:p>
                <w:p>
                  <w:pPr>
                    <w:jc w:val="center"/>
                    <w:rPr>
                      <w:rFonts w:hint="eastAsia"/>
                      <w:u w:val="double"/>
                    </w:rPr>
                  </w:pPr>
                  <w:r>
                    <w:rPr>
                      <w:rFonts w:hint="eastAsia"/>
                      <w:u w:val="double"/>
                    </w:rPr>
                    <w:t>44･03</w:t>
                  </w:r>
                </w:p>
                <w:p>
                  <w:pPr>
                    <w:jc w:val="center"/>
                    <w:rPr>
                      <w:u w:val="double"/>
                    </w:rPr>
                  </w:pPr>
                  <w:r>
                    <w:rPr>
                      <w:rFonts w:hint="eastAsia"/>
                      <w:u w:val="double"/>
                    </w:rPr>
                    <w:t>44･08</w:t>
                  </w:r>
                </w:p>
              </w:tc>
              <w:tc>
                <w:tcPr>
                  <w:tcW w:w="2693" w:type="dxa"/>
                  <w:vAlign w:val="top"/>
                </w:tcPr>
                <w:p>
                  <w:pPr>
                    <w:rPr>
                      <w:rFonts w:hint="eastAsia"/>
                      <w:u w:val="double"/>
                    </w:rPr>
                  </w:pPr>
                  <w:r>
                    <w:rPr>
                      <w:rFonts w:hint="eastAsia"/>
                      <w:u w:val="double"/>
                    </w:rPr>
                    <w:t>木材（チップ、丸太及び単板）</w:t>
                  </w:r>
                </w:p>
              </w:tc>
              <w:tc>
                <w:tcPr>
                  <w:tcW w:w="6859" w:type="dxa"/>
                  <w:tcBorders>
                    <w:top w:val="nil"/>
                    <w:bottom w:val="nil"/>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1559" w:type="dxa"/>
                  <w:vMerge w:val="continue"/>
                  <w:vAlign w:val="top"/>
                </w:tcPr>
                <w:p>
                  <w:pPr>
                    <w:rPr>
                      <w:rFonts w:hint="eastAsia"/>
                    </w:rPr>
                  </w:pPr>
                </w:p>
              </w:tc>
              <w:tc>
                <w:tcPr>
                  <w:tcW w:w="851" w:type="dxa"/>
                  <w:vAlign w:val="top"/>
                </w:tcPr>
                <w:p>
                  <w:pPr>
                    <w:jc w:val="center"/>
                    <w:rPr>
                      <w:u w:val="double"/>
                    </w:rPr>
                  </w:pPr>
                  <w:r>
                    <w:rPr>
                      <w:u w:val="double"/>
                    </w:rPr>
                    <w:t>3</w:t>
                  </w:r>
                </w:p>
              </w:tc>
              <w:tc>
                <w:tcPr>
                  <w:tcW w:w="1134" w:type="dxa"/>
                  <w:vAlign w:val="top"/>
                </w:tcPr>
                <w:p>
                  <w:pPr>
                    <w:jc w:val="center"/>
                    <w:rPr>
                      <w:rFonts w:hint="eastAsia"/>
                      <w:u w:val="double"/>
                    </w:rPr>
                  </w:pPr>
                  <w:r>
                    <w:rPr>
                      <w:rFonts w:hint="eastAsia"/>
                      <w:u w:val="double"/>
                    </w:rPr>
                    <w:t>84･07</w:t>
                  </w:r>
                </w:p>
                <w:p>
                  <w:pPr>
                    <w:jc w:val="center"/>
                    <w:rPr>
                      <w:rFonts w:hint="eastAsia"/>
                      <w:u w:val="double"/>
                    </w:rPr>
                  </w:pPr>
                  <w:r>
                    <w:rPr>
                      <w:rFonts w:hint="eastAsia"/>
                      <w:u w:val="double"/>
                    </w:rPr>
                    <w:t>84･09</w:t>
                  </w:r>
                </w:p>
                <w:p>
                  <w:pPr>
                    <w:jc w:val="center"/>
                    <w:rPr>
                      <w:rFonts w:hint="eastAsia"/>
                      <w:u w:val="double"/>
                    </w:rPr>
                  </w:pPr>
                  <w:r>
                    <w:rPr>
                      <w:rFonts w:hint="eastAsia"/>
                      <w:u w:val="double"/>
                    </w:rPr>
                    <w:t>84･12</w:t>
                  </w:r>
                </w:p>
                <w:p>
                  <w:pPr>
                    <w:jc w:val="center"/>
                    <w:rPr>
                      <w:rFonts w:hint="eastAsia"/>
                      <w:u w:val="double"/>
                    </w:rPr>
                  </w:pPr>
                  <w:r>
                    <w:rPr>
                      <w:rFonts w:hint="eastAsia"/>
                      <w:u w:val="double"/>
                    </w:rPr>
                    <w:t>84･13</w:t>
                  </w:r>
                </w:p>
                <w:p>
                  <w:pPr>
                    <w:jc w:val="center"/>
                    <w:rPr>
                      <w:rFonts w:hint="eastAsia"/>
                      <w:u w:val="double"/>
                    </w:rPr>
                  </w:pPr>
                  <w:r>
                    <w:rPr>
                      <w:rFonts w:hint="eastAsia"/>
                      <w:u w:val="double"/>
                    </w:rPr>
                    <w:t>84･14</w:t>
                  </w:r>
                </w:p>
                <w:p>
                  <w:pPr>
                    <w:jc w:val="center"/>
                    <w:rPr>
                      <w:rFonts w:hint="eastAsia"/>
                      <w:u w:val="double"/>
                    </w:rPr>
                  </w:pPr>
                  <w:r>
                    <w:rPr>
                      <w:rFonts w:hint="eastAsia"/>
                      <w:u w:val="double"/>
                    </w:rPr>
                    <w:t>84･15</w:t>
                  </w:r>
                </w:p>
                <w:p>
                  <w:pPr>
                    <w:jc w:val="center"/>
                    <w:rPr>
                      <w:rFonts w:hint="eastAsia"/>
                      <w:u w:val="double"/>
                    </w:rPr>
                  </w:pPr>
                  <w:r>
                    <w:rPr>
                      <w:rFonts w:hint="eastAsia"/>
                      <w:u w:val="double"/>
                    </w:rPr>
                    <w:t>84･18</w:t>
                  </w:r>
                </w:p>
                <w:p>
                  <w:pPr>
                    <w:jc w:val="center"/>
                    <w:rPr>
                      <w:rFonts w:hint="eastAsia"/>
                      <w:u w:val="double"/>
                    </w:rPr>
                  </w:pPr>
                  <w:r>
                    <w:rPr>
                      <w:rFonts w:hint="eastAsia"/>
                      <w:u w:val="double"/>
                    </w:rPr>
                    <w:t>84･19</w:t>
                  </w:r>
                </w:p>
                <w:p>
                  <w:pPr>
                    <w:jc w:val="center"/>
                    <w:rPr>
                      <w:u w:val="double"/>
                    </w:rPr>
                  </w:pPr>
                  <w:r>
                    <w:rPr>
                      <w:rFonts w:hint="eastAsia"/>
                      <w:u w:val="double"/>
                    </w:rPr>
                    <w:t>84･21</w:t>
                  </w:r>
                </w:p>
                <w:p>
                  <w:pPr>
                    <w:jc w:val="center"/>
                    <w:rPr>
                      <w:rFonts w:hint="eastAsia"/>
                      <w:u w:val="double"/>
                    </w:rPr>
                  </w:pPr>
                  <w:r>
                    <w:rPr>
                      <w:rFonts w:hint="eastAsia"/>
                      <w:u w:val="double"/>
                    </w:rPr>
                    <w:t>84･22</w:t>
                  </w:r>
                </w:p>
                <w:p>
                  <w:pPr>
                    <w:jc w:val="center"/>
                    <w:rPr>
                      <w:rFonts w:hint="eastAsia"/>
                      <w:u w:val="double"/>
                    </w:rPr>
                  </w:pPr>
                  <w:r>
                    <w:rPr>
                      <w:rFonts w:hint="eastAsia"/>
                      <w:u w:val="double"/>
                    </w:rPr>
                    <w:t>84･24</w:t>
                  </w:r>
                </w:p>
                <w:p>
                  <w:pPr>
                    <w:jc w:val="center"/>
                    <w:rPr>
                      <w:rFonts w:hint="eastAsia"/>
                      <w:u w:val="double"/>
                    </w:rPr>
                  </w:pPr>
                  <w:r>
                    <w:rPr>
                      <w:rFonts w:hint="eastAsia"/>
                      <w:u w:val="double"/>
                    </w:rPr>
                    <w:t>84･28</w:t>
                  </w:r>
                </w:p>
                <w:p>
                  <w:pPr>
                    <w:jc w:val="center"/>
                    <w:rPr>
                      <w:rFonts w:hint="eastAsia"/>
                      <w:u w:val="double"/>
                    </w:rPr>
                  </w:pPr>
                  <w:r>
                    <w:rPr>
                      <w:rFonts w:hint="eastAsia"/>
                      <w:u w:val="double"/>
                    </w:rPr>
                    <w:t>84･31</w:t>
                  </w:r>
                </w:p>
                <w:p>
                  <w:pPr>
                    <w:jc w:val="center"/>
                    <w:rPr>
                      <w:rFonts w:hint="eastAsia"/>
                      <w:u w:val="double"/>
                    </w:rPr>
                  </w:pPr>
                  <w:r>
                    <w:rPr>
                      <w:rFonts w:hint="eastAsia"/>
                      <w:u w:val="double"/>
                    </w:rPr>
                    <w:t>84･43</w:t>
                  </w:r>
                </w:p>
                <w:p>
                  <w:pPr>
                    <w:jc w:val="center"/>
                    <w:rPr>
                      <w:rFonts w:hint="eastAsia"/>
                      <w:u w:val="double"/>
                    </w:rPr>
                  </w:pPr>
                  <w:r>
                    <w:rPr>
                      <w:rFonts w:hint="eastAsia"/>
                      <w:u w:val="double"/>
                    </w:rPr>
                    <w:t>84･50</w:t>
                  </w:r>
                </w:p>
                <w:p>
                  <w:pPr>
                    <w:jc w:val="center"/>
                    <w:rPr>
                      <w:rFonts w:hint="eastAsia"/>
                      <w:u w:val="double"/>
                    </w:rPr>
                  </w:pPr>
                  <w:r>
                    <w:rPr>
                      <w:rFonts w:hint="eastAsia"/>
                      <w:u w:val="double"/>
                    </w:rPr>
                    <w:t>84･62</w:t>
                  </w:r>
                </w:p>
                <w:p>
                  <w:pPr>
                    <w:jc w:val="center"/>
                    <w:rPr>
                      <w:rFonts w:hint="eastAsia"/>
                      <w:u w:val="double"/>
                    </w:rPr>
                  </w:pPr>
                  <w:r>
                    <w:rPr>
                      <w:rFonts w:hint="eastAsia"/>
                      <w:u w:val="double"/>
                    </w:rPr>
                    <w:t>84･66</w:t>
                  </w:r>
                </w:p>
                <w:p>
                  <w:pPr>
                    <w:jc w:val="center"/>
                    <w:rPr>
                      <w:rFonts w:hint="eastAsia"/>
                      <w:u w:val="double"/>
                    </w:rPr>
                  </w:pPr>
                  <w:r>
                    <w:rPr>
                      <w:rFonts w:hint="eastAsia"/>
                      <w:u w:val="double"/>
                    </w:rPr>
                    <w:t>84･71</w:t>
                  </w:r>
                </w:p>
                <w:p>
                  <w:pPr>
                    <w:jc w:val="center"/>
                    <w:rPr>
                      <w:rFonts w:hint="eastAsia"/>
                      <w:u w:val="double"/>
                    </w:rPr>
                  </w:pPr>
                  <w:r>
                    <w:rPr>
                      <w:rFonts w:hint="eastAsia"/>
                      <w:u w:val="double"/>
                    </w:rPr>
                    <w:t>84･73</w:t>
                  </w:r>
                </w:p>
                <w:p>
                  <w:pPr>
                    <w:jc w:val="center"/>
                    <w:rPr>
                      <w:rFonts w:hint="eastAsia"/>
                      <w:u w:val="double"/>
                    </w:rPr>
                  </w:pPr>
                  <w:r>
                    <w:rPr>
                      <w:rFonts w:hint="eastAsia"/>
                      <w:u w:val="double"/>
                    </w:rPr>
                    <w:t>84･77</w:t>
                  </w:r>
                </w:p>
                <w:p>
                  <w:pPr>
                    <w:jc w:val="center"/>
                    <w:rPr>
                      <w:rFonts w:hint="eastAsia"/>
                      <w:u w:val="double"/>
                    </w:rPr>
                  </w:pPr>
                  <w:r>
                    <w:rPr>
                      <w:rFonts w:hint="eastAsia"/>
                      <w:u w:val="double"/>
                    </w:rPr>
                    <w:t>84･79</w:t>
                  </w:r>
                </w:p>
                <w:p>
                  <w:pPr>
                    <w:jc w:val="center"/>
                    <w:rPr>
                      <w:u w:val="double"/>
                    </w:rPr>
                  </w:pPr>
                  <w:r>
                    <w:rPr>
                      <w:rFonts w:hint="eastAsia"/>
                      <w:u w:val="double"/>
                    </w:rPr>
                    <w:t>84･81</w:t>
                  </w:r>
                </w:p>
                <w:p>
                  <w:pPr>
                    <w:jc w:val="center"/>
                    <w:rPr>
                      <w:rFonts w:hint="eastAsia"/>
                      <w:u w:val="double"/>
                    </w:rPr>
                  </w:pPr>
                  <w:r>
                    <w:rPr>
                      <w:rFonts w:hint="eastAsia"/>
                      <w:u w:val="double"/>
                    </w:rPr>
                    <w:t>84･82</w:t>
                  </w:r>
                </w:p>
                <w:p>
                  <w:pPr>
                    <w:jc w:val="center"/>
                    <w:rPr>
                      <w:rFonts w:hint="eastAsia"/>
                      <w:u w:val="double"/>
                    </w:rPr>
                  </w:pPr>
                  <w:r>
                    <w:rPr>
                      <w:rFonts w:hint="eastAsia"/>
                      <w:u w:val="double"/>
                    </w:rPr>
                    <w:t>84･83</w:t>
                  </w:r>
                </w:p>
                <w:p>
                  <w:pPr>
                    <w:jc w:val="center"/>
                    <w:rPr>
                      <w:rFonts w:hint="eastAsia"/>
                      <w:u w:val="double"/>
                    </w:rPr>
                  </w:pPr>
                  <w:r>
                    <w:rPr>
                      <w:rFonts w:hint="eastAsia"/>
                      <w:u w:val="double"/>
                    </w:rPr>
                    <w:t>87･03</w:t>
                  </w:r>
                </w:p>
                <w:p>
                  <w:pPr>
                    <w:jc w:val="center"/>
                    <w:rPr>
                      <w:rFonts w:hint="eastAsia"/>
                      <w:u w:val="double"/>
                    </w:rPr>
                  </w:pPr>
                  <w:r>
                    <w:rPr>
                      <w:rFonts w:hint="eastAsia"/>
                      <w:u w:val="double"/>
                    </w:rPr>
                    <w:t>87･08</w:t>
                  </w:r>
                </w:p>
                <w:p>
                  <w:pPr>
                    <w:jc w:val="center"/>
                    <w:rPr>
                      <w:rFonts w:hint="eastAsia"/>
                      <w:u w:val="double"/>
                    </w:rPr>
                  </w:pPr>
                  <w:r>
                    <w:rPr>
                      <w:rFonts w:hint="eastAsia"/>
                      <w:u w:val="double"/>
                    </w:rPr>
                    <w:t>87･11</w:t>
                  </w:r>
                </w:p>
                <w:p>
                  <w:pPr>
                    <w:jc w:val="center"/>
                    <w:rPr>
                      <w:u w:val="double"/>
                    </w:rPr>
                  </w:pPr>
                  <w:r>
                    <w:rPr>
                      <w:rFonts w:hint="eastAsia"/>
                      <w:u w:val="double"/>
                    </w:rPr>
                    <w:t>87･14</w:t>
                  </w:r>
                </w:p>
              </w:tc>
              <w:tc>
                <w:tcPr>
                  <w:tcW w:w="2693" w:type="dxa"/>
                  <w:vAlign w:val="top"/>
                </w:tcPr>
                <w:p>
                  <w:pPr>
                    <w:rPr>
                      <w:rFonts w:hint="eastAsia"/>
                      <w:u w:val="double"/>
                    </w:rPr>
                  </w:pPr>
                  <w:r>
                    <w:rPr>
                      <w:rFonts w:hint="eastAsia"/>
                      <w:u w:val="double"/>
                    </w:rPr>
                    <w:t>機械類・電気機械</w:t>
                  </w:r>
                </w:p>
              </w:tc>
              <w:tc>
                <w:tcPr>
                  <w:tcW w:w="6859" w:type="dxa"/>
                  <w:tcBorders>
                    <w:top w:val="nil"/>
                    <w:bottom w:val="nil"/>
                  </w:tcBorders>
                  <w:vAlign w:val="top"/>
                </w:tcPr>
                <w:p/>
              </w:tc>
            </w:tr>
          </w:tbl>
          <w:p>
            <w:pPr>
              <w:ind w:left="210" w:hanging="210" w:hangingChars="100"/>
            </w:pPr>
          </w:p>
        </w:tc>
        <w:tc>
          <w:tcPr>
            <w:tcW w:w="6520" w:type="dxa"/>
            <w:tcBorders>
              <w:top w:val="nil"/>
              <w:bottom w:val="nil"/>
            </w:tcBorders>
            <w:vAlign w:val="top"/>
          </w:tcPr>
          <w:tbl>
            <w:tblPr>
              <w:tblStyle w:val="9"/>
              <w:tblW w:w="6461" w:type="dxa"/>
              <w:tblInd w:w="57" w:type="dxa"/>
              <w:tblBorders>
                <w:top w:val="none" w:color="auto" w:sz="0"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854"/>
              <w:gridCol w:w="1134"/>
              <w:gridCol w:w="2681"/>
              <w:gridCol w:w="236"/>
            </w:tblGrid>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1556" w:type="dxa"/>
                  <w:vMerge w:val="restart"/>
                  <w:tcBorders>
                    <w:top w:val="single" w:color="auto" w:sz="4" w:space="0"/>
                  </w:tcBorders>
                  <w:vAlign w:val="center"/>
                </w:tcPr>
                <w:p>
                  <w:pPr>
                    <w:jc w:val="center"/>
                  </w:pPr>
                  <w:r>
                    <w:rPr>
                      <w:rFonts w:hint="eastAsia"/>
                    </w:rPr>
                    <w:t>地　域</w:t>
                  </w:r>
                </w:p>
              </w:tc>
              <w:tc>
                <w:tcPr>
                  <w:tcW w:w="4669" w:type="dxa"/>
                  <w:gridSpan w:val="3"/>
                  <w:tcBorders>
                    <w:top w:val="single" w:color="auto" w:sz="4" w:space="0"/>
                    <w:bottom w:val="single" w:color="auto" w:sz="4" w:space="0"/>
                  </w:tcBorders>
                  <w:vAlign w:val="top"/>
                </w:tcPr>
                <w:p>
                  <w:pPr>
                    <w:jc w:val="center"/>
                  </w:pPr>
                  <w:r>
                    <w:rPr>
                      <w:rFonts w:hint="eastAsia"/>
                    </w:rPr>
                    <w:t>貨　　　　　　物</w:t>
                  </w:r>
                </w:p>
              </w:tc>
              <w:tc>
                <w:tcPr>
                  <w:tcW w:w="236" w:type="dxa"/>
                  <w:vMerge w:val="restart"/>
                  <w:tcBorders>
                    <w:top w:val="nil"/>
                    <w:bottom w:val="nil"/>
                  </w:tcBorders>
                  <w:vAlign w:val="top"/>
                </w:tc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1556" w:type="dxa"/>
                  <w:vMerge w:val="continue"/>
                  <w:vAlign w:val="top"/>
                </w:tcPr>
                <w:p/>
              </w:tc>
              <w:tc>
                <w:tcPr>
                  <w:tcW w:w="854" w:type="dxa"/>
                  <w:vAlign w:val="top"/>
                </w:tcPr>
                <w:p>
                  <w:pPr>
                    <w:jc w:val="center"/>
                  </w:pPr>
                  <w:r>
                    <w:rPr>
                      <w:rFonts w:hint="eastAsia"/>
                    </w:rPr>
                    <w:t>項目</w:t>
                  </w:r>
                </w:p>
                <w:p>
                  <w:pPr>
                    <w:jc w:val="center"/>
                  </w:pPr>
                  <w:r>
                    <w:rPr>
                      <w:rFonts w:hint="eastAsia"/>
                    </w:rPr>
                    <w:t>番号</w:t>
                  </w:r>
                </w:p>
              </w:tc>
              <w:tc>
                <w:tcPr>
                  <w:tcW w:w="1134" w:type="dxa"/>
                  <w:vAlign w:val="top"/>
                </w:tcPr>
                <w:p>
                  <w:pPr>
                    <w:jc w:val="center"/>
                  </w:pPr>
                  <w:r>
                    <w:rPr>
                      <w:rFonts w:hint="eastAsia"/>
                    </w:rPr>
                    <w:t>関税率表</w:t>
                  </w:r>
                </w:p>
                <w:p>
                  <w:pPr>
                    <w:jc w:val="center"/>
                  </w:pPr>
                  <w:r>
                    <w:rPr>
                      <w:rFonts w:hint="eastAsia"/>
                    </w:rPr>
                    <w:t>の番号等</w:t>
                  </w:r>
                </w:p>
              </w:tc>
              <w:tc>
                <w:tcPr>
                  <w:tcW w:w="2681" w:type="dxa"/>
                  <w:vAlign w:val="center"/>
                </w:tcPr>
                <w:p>
                  <w:pPr>
                    <w:jc w:val="center"/>
                  </w:pPr>
                  <w:r>
                    <w:rPr>
                      <w:rFonts w:hint="eastAsia"/>
                    </w:rPr>
                    <w:t>貨　物　名</w:t>
                  </w:r>
                </w:p>
              </w:tc>
              <w:tc>
                <w:tcPr>
                  <w:tcW w:w="236" w:type="dxa"/>
                  <w:vMerge w:val="continue"/>
                  <w:tcBorders>
                    <w:top w:val="nil"/>
                    <w:bottom w:val="nil"/>
                  </w:tcBorders>
                  <w:vAlign w:val="top"/>
                </w:tc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1556" w:type="dxa"/>
                  <w:tcBorders>
                    <w:bottom w:val="single" w:color="auto" w:sz="4" w:space="0"/>
                  </w:tcBorders>
                  <w:vAlign w:val="top"/>
                </w:tcPr>
                <w:p>
                  <w:r>
                    <w:t>[</w:t>
                  </w:r>
                  <w:r>
                    <w:rPr>
                      <w:rFonts w:hint="eastAsia"/>
                    </w:rPr>
                    <w:t>略</w:t>
                  </w:r>
                  <w:r>
                    <w:t>]</w:t>
                  </w:r>
                </w:p>
              </w:tc>
              <w:tc>
                <w:tcPr>
                  <w:tcW w:w="854" w:type="dxa"/>
                  <w:tcBorders>
                    <w:bottom w:val="single" w:color="auto" w:sz="4" w:space="0"/>
                  </w:tcBorders>
                  <w:vAlign w:val="top"/>
                </w:tcPr>
                <w:p>
                  <w:r>
                    <w:t>[</w:t>
                  </w:r>
                  <w:r>
                    <w:rPr>
                      <w:rFonts w:hint="eastAsia"/>
                    </w:rPr>
                    <w:t>略</w:t>
                  </w:r>
                  <w:r>
                    <w:t>]</w:t>
                  </w:r>
                </w:p>
              </w:tc>
              <w:tc>
                <w:tcPr>
                  <w:tcW w:w="1134" w:type="dxa"/>
                  <w:tcBorders>
                    <w:bottom w:val="single" w:color="auto" w:sz="4" w:space="0"/>
                  </w:tcBorders>
                  <w:vAlign w:val="top"/>
                </w:tcPr>
                <w:p>
                  <w:r>
                    <w:t>[</w:t>
                  </w:r>
                  <w:r>
                    <w:rPr>
                      <w:rFonts w:hint="eastAsia"/>
                    </w:rPr>
                    <w:t>略</w:t>
                  </w:r>
                  <w:r>
                    <w:t>]</w:t>
                  </w:r>
                </w:p>
              </w:tc>
              <w:tc>
                <w:tcPr>
                  <w:tcW w:w="2681" w:type="dxa"/>
                  <w:tcBorders>
                    <w:bottom w:val="single" w:color="auto" w:sz="4" w:space="0"/>
                  </w:tcBorders>
                  <w:vAlign w:val="top"/>
                </w:tcPr>
                <w:p>
                  <w:r>
                    <w:t>[</w:t>
                  </w:r>
                  <w:r>
                    <w:rPr>
                      <w:rFonts w:hint="eastAsia"/>
                    </w:rPr>
                    <w:t>略</w:t>
                  </w:r>
                  <w:r>
                    <w:t>]</w:t>
                  </w:r>
                </w:p>
              </w:tc>
              <w:tc>
                <w:tcPr>
                  <w:tcW w:w="236" w:type="dxa"/>
                  <w:vMerge w:val="continue"/>
                  <w:tcBorders>
                    <w:top w:val="nil"/>
                    <w:bottom w:val="nil"/>
                  </w:tcBorders>
                  <w:vAlign w:val="top"/>
                </w:tc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556" w:type="dxa"/>
                  <w:vMerge w:val="restart"/>
                  <w:vAlign w:val="top"/>
                </w:tcPr>
                <w:p>
                  <w:r>
                    <w:rPr>
                      <w:rFonts w:hint="eastAsia"/>
                    </w:rPr>
                    <w:t>［新設］</w:t>
                  </w:r>
                </w:p>
              </w:tc>
              <w:tc>
                <w:tcPr>
                  <w:tcW w:w="854" w:type="dxa"/>
                  <w:vAlign w:val="top"/>
                </w:tcPr>
                <w:p>
                  <w:r>
                    <w:rPr>
                      <w:rFonts w:hint="eastAsia"/>
                    </w:rPr>
                    <w:t>[新設]</w:t>
                  </w:r>
                </w:p>
                <w:p/>
                <w:p/>
                <w:p/>
                <w:p/>
              </w:tc>
              <w:tc>
                <w:tcPr>
                  <w:tcW w:w="1134" w:type="dxa"/>
                  <w:vAlign w:val="top"/>
                </w:tcPr>
                <w:p>
                  <w:r>
                    <w:rPr>
                      <w:rFonts w:hint="eastAsia"/>
                    </w:rPr>
                    <w:t>［新設］</w:t>
                  </w:r>
                </w:p>
              </w:tc>
              <w:tc>
                <w:tcPr>
                  <w:tcW w:w="2681" w:type="dxa"/>
                  <w:vAlign w:val="top"/>
                </w:tcPr>
                <w:p>
                  <w:r>
                    <w:rPr>
                      <w:rFonts w:hint="eastAsia"/>
                    </w:rPr>
                    <w:t>［新設］</w:t>
                  </w:r>
                </w:p>
              </w:tc>
              <w:tc>
                <w:tcPr>
                  <w:tcW w:w="236" w:type="dxa"/>
                  <w:vMerge w:val="restart"/>
                  <w:tcBorders>
                    <w:top w:val="nil"/>
                  </w:tcBorders>
                  <w:vAlign w:val="top"/>
                </w:tc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3" w:hRule="atLeast"/>
              </w:trPr>
              <w:tc>
                <w:tcPr>
                  <w:tcW w:w="1556" w:type="dxa"/>
                  <w:vMerge w:val="continue"/>
                  <w:vAlign w:val="top"/>
                </w:tcPr>
                <w:p>
                  <w:pPr>
                    <w:rPr>
                      <w:rFonts w:hint="eastAsia"/>
                    </w:rPr>
                  </w:pPr>
                </w:p>
              </w:tc>
              <w:tc>
                <w:tcPr>
                  <w:tcW w:w="854" w:type="dxa"/>
                  <w:tcBorders>
                    <w:bottom w:val="single" w:color="auto" w:sz="4" w:space="0"/>
                  </w:tcBorders>
                  <w:vAlign w:val="top"/>
                </w:tcPr>
                <w:p>
                  <w:r>
                    <w:rPr>
                      <w:rFonts w:hint="eastAsia"/>
                    </w:rPr>
                    <w:t>[新設]</w:t>
                  </w:r>
                </w:p>
              </w:tc>
              <w:tc>
                <w:tcPr>
                  <w:tcW w:w="1134" w:type="dxa"/>
                  <w:tcBorders>
                    <w:bottom w:val="single" w:color="auto" w:sz="4" w:space="0"/>
                  </w:tcBorders>
                  <w:vAlign w:val="top"/>
                </w:tcPr>
                <w:p>
                  <w:r>
                    <w:rPr>
                      <w:rFonts w:hint="eastAsia"/>
                    </w:rPr>
                    <w:t>［新設］</w:t>
                  </w:r>
                </w:p>
              </w:tc>
              <w:tc>
                <w:tcPr>
                  <w:tcW w:w="2681" w:type="dxa"/>
                  <w:tcBorders>
                    <w:bottom w:val="single" w:color="auto" w:sz="4" w:space="0"/>
                  </w:tcBorders>
                  <w:vAlign w:val="top"/>
                </w:tcPr>
                <w:p>
                  <w:r>
                    <w:rPr>
                      <w:rFonts w:hint="eastAsia"/>
                    </w:rPr>
                    <w:t>［新設］</w:t>
                  </w:r>
                </w:p>
              </w:tc>
              <w:tc>
                <w:tcPr>
                  <w:tcW w:w="236" w:type="dxa"/>
                  <w:vMerge w:val="continue"/>
                  <w:vAlign w:val="top"/>
                </w:tc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556" w:type="dxa"/>
                  <w:vMerge w:val="continue"/>
                  <w:tcBorders>
                    <w:bottom w:val="single" w:color="auto" w:sz="4" w:space="0"/>
                  </w:tcBorders>
                  <w:vAlign w:val="top"/>
                </w:tcPr>
                <w:p>
                  <w:pPr>
                    <w:rPr>
                      <w:rFonts w:hint="eastAsia"/>
                    </w:rPr>
                  </w:pPr>
                </w:p>
              </w:tc>
              <w:tc>
                <w:tcPr>
                  <w:tcW w:w="854" w:type="dxa"/>
                  <w:tcBorders>
                    <w:top w:val="single" w:color="auto" w:sz="4" w:space="0"/>
                    <w:bottom w:val="single" w:color="auto" w:sz="4" w:space="0"/>
                  </w:tcBorders>
                  <w:vAlign w:val="top"/>
                </w:tcPr>
                <w:p>
                  <w:r>
                    <w:rPr>
                      <w:rFonts w:hint="eastAsia"/>
                    </w:rPr>
                    <w:t>[新設]</w:t>
                  </w:r>
                </w:p>
                <w:p/>
                <w:p/>
                <w:p/>
                <w:p/>
                <w:p/>
                <w:p/>
                <w:p/>
                <w:p/>
                <w:p/>
                <w:p/>
                <w:p/>
                <w:p/>
                <w:p/>
                <w:p/>
                <w:p/>
                <w:p/>
                <w:p/>
                <w:p/>
                <w:p/>
                <w:p/>
                <w:p/>
                <w:p/>
                <w:p/>
                <w:p/>
                <w:p/>
                <w:p/>
                <w:p/>
              </w:tc>
              <w:tc>
                <w:tcPr>
                  <w:tcW w:w="1134" w:type="dxa"/>
                  <w:tcBorders>
                    <w:top w:val="single" w:color="auto" w:sz="4" w:space="0"/>
                    <w:bottom w:val="single" w:color="auto" w:sz="4" w:space="0"/>
                  </w:tcBorders>
                  <w:vAlign w:val="top"/>
                </w:tcPr>
                <w:p>
                  <w:r>
                    <w:rPr>
                      <w:rFonts w:hint="eastAsia"/>
                    </w:rPr>
                    <w:t>［新設］</w:t>
                  </w:r>
                </w:p>
              </w:tc>
              <w:tc>
                <w:tcPr>
                  <w:tcW w:w="2681" w:type="dxa"/>
                  <w:tcBorders>
                    <w:top w:val="single" w:color="auto" w:sz="4" w:space="0"/>
                    <w:bottom w:val="single" w:color="auto" w:sz="4" w:space="0"/>
                  </w:tcBorders>
                  <w:vAlign w:val="top"/>
                </w:tcPr>
                <w:p>
                  <w:r>
                    <w:rPr>
                      <w:rFonts w:hint="eastAsia"/>
                    </w:rPr>
                    <w:t>［新設］</w:t>
                  </w:r>
                </w:p>
              </w:tc>
              <w:tc>
                <w:tcPr>
                  <w:tcW w:w="236" w:type="dxa"/>
                  <w:tcBorders>
                    <w:bottom w:val="single" w:color="auto" w:sz="4" w:space="0"/>
                  </w:tcBorders>
                  <w:vAlign w:val="top"/>
                </w:tcPr>
                <w:p/>
              </w:tc>
            </w:tr>
          </w:tbl>
          <w:p>
            <w:pPr>
              <w:ind w:left="210" w:hanging="210" w:hanging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6" w:type="dxa"/>
            <w:tcBorders>
              <w:top w:val="nil"/>
              <w:bottom w:val="nil"/>
            </w:tcBorders>
            <w:tcMar>
              <w:right w:w="0" w:type="dxa"/>
            </w:tcMar>
            <w:vAlign w:val="top"/>
          </w:tcPr>
          <w:p>
            <w:r>
              <w:rPr>
                <w:rFonts w:hint="eastAsia"/>
              </w:rPr>
              <w:t>第２ [略</w:t>
            </w:r>
            <w:r>
              <w:t>]</w:t>
            </w:r>
          </w:p>
        </w:tc>
        <w:tc>
          <w:tcPr>
            <w:tcW w:w="6520" w:type="dxa"/>
            <w:tcBorders>
              <w:top w:val="nil"/>
              <w:bottom w:val="nil"/>
            </w:tcBorders>
            <w:tcMar>
              <w:right w:w="0" w:type="dxa"/>
            </w:tcMar>
            <w:vAlign w:val="top"/>
          </w:tcPr>
          <w:p>
            <w:r>
              <w:rPr>
                <w:rFonts w:hint="eastAsia"/>
              </w:rPr>
              <w:t>第２ [略</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36" w:type="dxa"/>
            <w:gridSpan w:val="2"/>
            <w:tcBorders>
              <w:bottom w:val="single" w:color="auto" w:sz="4" w:space="0"/>
            </w:tcBorders>
            <w:tcMar>
              <w:right w:w="0" w:type="dxa"/>
            </w:tcMar>
            <w:textDirection w:val="lrTbV"/>
            <w:vAlign w:val="top"/>
          </w:tcPr>
          <w:p>
            <w:r>
              <w:rPr>
                <w:rFonts w:hint="eastAsia"/>
              </w:rPr>
              <w:t>備考　表中の［　］は注記である。</w:t>
            </w:r>
          </w:p>
        </w:tc>
      </w:tr>
    </w:tbl>
    <w:p>
      <w:pPr>
        <w:widowControl/>
        <w:ind w:left="630" w:leftChars="300"/>
        <w:jc w:val="left"/>
      </w:pPr>
      <w:r>
        <w:rPr>
          <w:rFonts w:hint="eastAsia"/>
        </w:rPr>
        <w:t>附　則</w:t>
      </w:r>
    </w:p>
    <w:p>
      <w:pPr>
        <w:widowControl/>
        <w:ind w:firstLine="210" w:firstLineChars="100"/>
        <w:jc w:val="left"/>
      </w:pPr>
      <w:r>
        <w:rPr>
          <w:rFonts w:hint="eastAsia"/>
        </w:rPr>
        <w:t>この告示令和四年四月十九日から施行告示の施行前に輸入に係る契約を行者がその契約に基づいてする輸入施行の日から起算して三月を経過した日まではなお従前の例による</w:t>
      </w:r>
    </w:p>
    <w:sectPr>
      <w:pgSz w:w="16838" w:h="11906" w:orient="landscape"/>
      <w:pgMar w:top="1701" w:right="1985" w:bottom="1701" w:left="1701" w:header="851" w:footer="992" w:gutter="0"/>
      <w:cols w:space="720" w:num="1"/>
      <w:textDirection w:val="lrTbV"/>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019DD"/>
    <w:rsid w:val="00096010"/>
    <w:rsid w:val="0024518D"/>
    <w:rsid w:val="0025742B"/>
    <w:rsid w:val="00353F51"/>
    <w:rsid w:val="003F55C4"/>
    <w:rsid w:val="004019DD"/>
    <w:rsid w:val="004A6AC7"/>
    <w:rsid w:val="004C02AC"/>
    <w:rsid w:val="004F19C0"/>
    <w:rsid w:val="005079B4"/>
    <w:rsid w:val="00522C4D"/>
    <w:rsid w:val="005E3308"/>
    <w:rsid w:val="00632B2A"/>
    <w:rsid w:val="00660F89"/>
    <w:rsid w:val="00670D05"/>
    <w:rsid w:val="007937A6"/>
    <w:rsid w:val="0079427B"/>
    <w:rsid w:val="007B6F9C"/>
    <w:rsid w:val="007E68A7"/>
    <w:rsid w:val="00852934"/>
    <w:rsid w:val="00A04F1E"/>
    <w:rsid w:val="00A67B5F"/>
    <w:rsid w:val="00B51D25"/>
    <w:rsid w:val="00B96A2B"/>
    <w:rsid w:val="00C05A14"/>
    <w:rsid w:val="00C255A6"/>
    <w:rsid w:val="00C737BB"/>
    <w:rsid w:val="00CA3264"/>
    <w:rsid w:val="00D1601D"/>
    <w:rsid w:val="00D16CDE"/>
    <w:rsid w:val="00D654ED"/>
    <w:rsid w:val="00DA0E8E"/>
    <w:rsid w:val="00E50700"/>
    <w:rsid w:val="00E63470"/>
    <w:rsid w:val="00E7268B"/>
    <w:rsid w:val="00ED2F18"/>
    <w:rsid w:val="00F06710"/>
    <w:rsid w:val="00F17EE5"/>
    <w:rsid w:val="00FC4585"/>
    <w:rsid w:val="00FD690A"/>
    <w:rsid w:val="089A5421"/>
    <w:rsid w:val="4EFE25A7"/>
    <w:rsid w:val="7EBA6F05"/>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99" w:semiHidden="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semiHidden="0" w:name="Date"/>
    <w:lsdException w:uiPriority="0" w:name="Body Text First Indent"/>
    <w:lsdException w:uiPriority="0" w:name="Body Text First Indent 2"/>
    <w:lsdException w:uiPriority="99"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2"/>
      <w:lang w:val="en-US" w:eastAsia="ja-JP" w:bidi="ar-SA"/>
    </w:rPr>
  </w:style>
  <w:style w:type="character" w:default="1" w:styleId="7">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Note Heading"/>
    <w:basedOn w:val="1"/>
    <w:next w:val="1"/>
    <w:link w:val="13"/>
    <w:unhideWhenUsed/>
    <w:uiPriority w:val="99"/>
    <w:pPr>
      <w:jc w:val="center"/>
    </w:pPr>
  </w:style>
  <w:style w:type="paragraph" w:styleId="3">
    <w:name w:val="Closing"/>
    <w:basedOn w:val="1"/>
    <w:link w:val="14"/>
    <w:unhideWhenUsed/>
    <w:uiPriority w:val="99"/>
    <w:pPr>
      <w:jc w:val="right"/>
    </w:pPr>
  </w:style>
  <w:style w:type="paragraph" w:styleId="4">
    <w:name w:val="Date"/>
    <w:basedOn w:val="1"/>
    <w:next w:val="1"/>
    <w:link w:val="12"/>
    <w:unhideWhenUsed/>
    <w:uiPriority w:val="99"/>
  </w:style>
  <w:style w:type="paragraph" w:styleId="5">
    <w:name w:val="footer"/>
    <w:basedOn w:val="1"/>
    <w:link w:val="11"/>
    <w:unhideWhenUsed/>
    <w:uiPriority w:val="99"/>
    <w:pPr>
      <w:tabs>
        <w:tab w:val="center" w:pos="4252"/>
        <w:tab w:val="right" w:pos="8504"/>
      </w:tabs>
      <w:snapToGrid w:val="0"/>
    </w:pPr>
  </w:style>
  <w:style w:type="paragraph" w:styleId="6">
    <w:name w:val="header"/>
    <w:basedOn w:val="1"/>
    <w:link w:val="10"/>
    <w:unhideWhenUsed/>
    <w:uiPriority w:val="99"/>
    <w:pPr>
      <w:tabs>
        <w:tab w:val="center" w:pos="4252"/>
        <w:tab w:val="right" w:pos="8504"/>
      </w:tabs>
      <w:snapToGrid w:val="0"/>
    </w:pPr>
  </w:style>
  <w:style w:type="table" w:styleId="9">
    <w:name w:val="Table Grid"/>
    <w:basedOn w:val="8"/>
    <w:uiPriority w:val="39"/>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0">
    <w:name w:val="ヘッダー (文字)"/>
    <w:basedOn w:val="7"/>
    <w:link w:val="6"/>
    <w:uiPriority w:val="99"/>
    <w:rPr/>
  </w:style>
  <w:style w:type="character" w:customStyle="1" w:styleId="11">
    <w:name w:val="フッター (文字)"/>
    <w:basedOn w:val="7"/>
    <w:link w:val="5"/>
    <w:uiPriority w:val="99"/>
    <w:rPr/>
  </w:style>
  <w:style w:type="character" w:customStyle="1" w:styleId="12">
    <w:name w:val="日付 (文字)"/>
    <w:basedOn w:val="7"/>
    <w:link w:val="4"/>
    <w:semiHidden/>
    <w:uiPriority w:val="99"/>
    <w:rPr/>
  </w:style>
  <w:style w:type="character" w:customStyle="1" w:styleId="13">
    <w:name w:val="記 (文字)"/>
    <w:basedOn w:val="7"/>
    <w:link w:val="2"/>
    <w:uiPriority w:val="99"/>
    <w:rPr/>
  </w:style>
  <w:style w:type="character" w:customStyle="1" w:styleId="14">
    <w:name w:val="結語 (文字)"/>
    <w:basedOn w:val="7"/>
    <w:link w:val="3"/>
    <w:uiPriority w:val="99"/>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304</Words>
  <Characters>1736</Characters>
  <Lines>14</Lines>
  <Paragraphs>4</Paragraphs>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2022-04-13T01:35:00Z</dcterms:created>
  <dc:creator>鈴木　恒久</dc:creator>
  <cp:lastModifiedBy>恒久</cp:lastModifiedBy>
  <cp:lastPrinted>2022-02-28T02:35:00Z</cp:lastPrinted>
  <dcterms:modified xsi:type="dcterms:W3CDTF">2024-09-03T00:52:27Z</dcterms:modified>
  <dc:title>ロシア連邦を原産地又は船積地域とする貨物の輸入の禁止措置に伴う税関の対応について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