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ロシアを原産地とする貴金属の輸入の禁止措置に伴う税関の対応について</w:t>
      </w:r>
    </w:p>
    <w:p>
      <w:pPr>
        <w:autoSpaceDN w:val="0"/>
        <w:ind w:firstLine="84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令和4年</w:t>
      </w:r>
      <w:r>
        <w:rPr>
          <w:rFonts w:hint="eastAsia" w:ascii="ＭＳ 明朝" w:hAnsi="ＭＳ 明朝" w:eastAsia="ＭＳ 明朝" w:cs="ＭＳ 明朝"/>
          <w:sz w:val="21"/>
          <w:szCs w:val="21"/>
          <w:lang w:val="en-US" w:eastAsia="ja-JP"/>
        </w:rPr>
        <w:t>7</w:t>
      </w:r>
      <w:r>
        <w:rPr>
          <w:rFonts w:hint="eastAsia" w:ascii="ＭＳ 明朝" w:hAnsi="ＭＳ 明朝" w:eastAsia="ＭＳ 明朝" w:cs="ＭＳ 明朝"/>
          <w:sz w:val="21"/>
          <w:szCs w:val="21"/>
        </w:rPr>
        <w:t>月29日財関第</w:t>
      </w:r>
      <w:r>
        <w:rPr>
          <w:rFonts w:hint="eastAsia" w:ascii="ＭＳ 明朝" w:hAnsi="ＭＳ 明朝" w:eastAsia="ＭＳ 明朝" w:cs="ＭＳ 明朝"/>
          <w:sz w:val="21"/>
          <w:szCs w:val="21"/>
          <w:lang w:val="en-US" w:eastAsia="ja-JP"/>
        </w:rPr>
        <w:t>549</w:t>
      </w:r>
      <w:r>
        <w:rPr>
          <w:rFonts w:hint="eastAsia" w:ascii="ＭＳ 明朝" w:hAnsi="ＭＳ 明朝" w:eastAsia="ＭＳ 明朝" w:cs="ＭＳ 明朝"/>
          <w:sz w:val="21"/>
          <w:szCs w:val="21"/>
        </w:rPr>
        <w:t>号</w:t>
      </w:r>
    </w:p>
    <w:p>
      <w:pPr>
        <w:autoSpaceDN w:val="0"/>
        <w:rPr>
          <w:rFonts w:hint="eastAsia" w:ascii="ＭＳ 明朝" w:hAnsi="ＭＳ 明朝" w:eastAsia="ＭＳ 明朝" w:cs="ＭＳ 明朝"/>
          <w:sz w:val="21"/>
          <w:szCs w:val="21"/>
        </w:rPr>
      </w:pPr>
    </w:p>
    <w:p>
      <w:pPr>
        <w:spacing w:beforeLines="0" w:afterLines="0"/>
        <w:jc w:val="left"/>
        <w:rPr>
          <w:rFonts w:hint="eastAsia" w:ascii="ＭＳ 明朝" w:hAnsi="ＭＳ 明朝" w:eastAsia="ＭＳ 明朝" w:cs="ＭＳ 明朝"/>
          <w:sz w:val="21"/>
          <w:szCs w:val="21"/>
        </w:rPr>
      </w:pPr>
    </w:p>
    <w:p>
      <w:pPr>
        <w:widowControl/>
        <w:ind w:firstLine="210" w:firstLineChars="100"/>
        <w:jc w:val="both"/>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ウクライナをめぐる現下の情勢に鑑み、この問題の解決を目指す国際平和のための国際的な努力に我が国として寄与するため、主要国が講ずることとした措置の内容に沿い、外国為替及び外国貿易法（昭和24年法律第228号）により、ロシアからの金の輸入禁止措置を実施することが決定され、７月５日の閣議了解「ロシア連邦関係者に対する資産凍結等の措置等について」によりロシアからの貴金属（金）の輸入の禁止措置を導入することとされたところである。</w:t>
      </w:r>
    </w:p>
    <w:p>
      <w:pPr>
        <w:widowControl/>
        <w:ind w:firstLine="210" w:firstLineChars="100"/>
        <w:jc w:val="both"/>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これを受けて、ロシアを原産地とする貴金属の輸入の禁止措置を実施するため、外国為替及び外国貿易法第19条第２項の規定に基づく財務大臣の許可を受けなければならない貴金属の輸出又は輸入を指定する件（平成18年財務省告示第443号）の一部を改正する財務省告示が８月１日から施行される。</w:t>
      </w:r>
    </w:p>
    <w:p>
      <w:pPr>
        <w:widowControl/>
        <w:ind w:firstLine="210" w:firstLineChars="100"/>
        <w:jc w:val="both"/>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税関においては、国際局長からの通知（別紙）を踏まえ、関係省庁との連携を密にし、本輸入の禁止措置の実効性の確保に努めるため、下記により実施されたい。</w:t>
      </w:r>
    </w:p>
    <w:p>
      <w:pPr>
        <w:widowControl/>
        <w:ind w:firstLine="210" w:firstLineChars="100"/>
        <w:jc w:val="both"/>
        <w:rPr>
          <w:rFonts w:hint="eastAsia" w:ascii="ＭＳ 明朝" w:hAnsi="ＭＳ 明朝" w:eastAsia="ＭＳ 明朝" w:cs="ＭＳ 明朝"/>
          <w:sz w:val="21"/>
          <w:szCs w:val="21"/>
        </w:rPr>
      </w:pPr>
    </w:p>
    <w:p>
      <w:pPr>
        <w:widowControl/>
        <w:ind w:firstLine="210" w:firstLineChars="100"/>
        <w:jc w:val="center"/>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記</w:t>
      </w:r>
    </w:p>
    <w:p>
      <w:pPr>
        <w:widowControl/>
        <w:ind w:firstLine="210" w:firstLineChars="100"/>
        <w:jc w:val="center"/>
        <w:rPr>
          <w:rFonts w:hint="eastAsia" w:ascii="ＭＳ 明朝" w:hAnsi="ＭＳ 明朝" w:eastAsia="ＭＳ 明朝" w:cs="ＭＳ 明朝"/>
          <w:sz w:val="21"/>
          <w:szCs w:val="21"/>
        </w:rPr>
      </w:pPr>
    </w:p>
    <w:p>
      <w:pPr>
        <w:widowControl/>
        <w:autoSpaceDN w:val="0"/>
        <w:ind w:left="210" w:hanging="210" w:hangingChars="100"/>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１．税関における審査に際しては、通関関係書類等により貨物の原産地を確認するとともに、検査に際しては、貨物の外装に付された表記等により貨物の原産地を確認すること。</w:t>
      </w:r>
    </w:p>
    <w:p>
      <w:pPr>
        <w:widowControl/>
        <w:autoSpaceDN w:val="0"/>
        <w:ind w:left="210" w:hanging="210" w:hangingChars="100"/>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２．税関における貴金属の輸入許可事務の事務処理については、関税局監視課と十分協議し、適切に処理すること。</w:t>
      </w:r>
    </w:p>
    <w:p>
      <w:pPr>
        <w:widowControl/>
        <w:autoSpaceDN w:val="0"/>
        <w:ind w:left="210" w:hanging="210" w:hangingChars="100"/>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３．上記により適正な通関の徹底を図るほか、輸入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pPr>
        <w:widowControl/>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br w:type="page"/>
      </w:r>
    </w:p>
    <w:p>
      <w:pPr>
        <w:jc w:val="righ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（別紙）</w:t>
      </w:r>
    </w:p>
    <w:p>
      <w:pPr>
        <w:jc w:val="center"/>
        <w:rPr>
          <w:rFonts w:hint="eastAsia" w:ascii="ＭＳ 明朝" w:hAnsi="ＭＳ 明朝" w:eastAsia="ＭＳ 明朝" w:cs="ＭＳ 明朝"/>
          <w:sz w:val="21"/>
          <w:szCs w:val="21"/>
        </w:rPr>
      </w:pPr>
    </w:p>
    <w:p>
      <w:pPr>
        <w:spacing w:beforeLines="0" w:afterLines="0"/>
        <w:jc w:val="lef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外国為替及び外国貿易法に基づくロシア連邦を原産地とする貴金属の輸入規制について</w:t>
      </w:r>
    </w:p>
    <w:p>
      <w:pPr>
        <w:rPr>
          <w:rFonts w:hint="eastAsia" w:ascii="ＭＳ 明朝" w:hAnsi="ＭＳ 明朝" w:eastAsia="ＭＳ 明朝" w:cs="ＭＳ 明朝"/>
          <w:sz w:val="21"/>
          <w:szCs w:val="21"/>
        </w:rPr>
      </w:pPr>
    </w:p>
    <w:p>
      <w:pPr>
        <w:ind w:left="840" w:leftChars="4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令和4年</w:t>
      </w:r>
      <w:r>
        <w:rPr>
          <w:rFonts w:hint="eastAsia" w:ascii="ＭＳ 明朝" w:hAnsi="ＭＳ 明朝" w:cs="ＭＳ 明朝"/>
          <w:sz w:val="21"/>
          <w:szCs w:val="21"/>
          <w:lang w:val="en-US" w:eastAsia="ja-JP"/>
        </w:rPr>
        <w:t>7</w:t>
      </w:r>
      <w:r>
        <w:rPr>
          <w:rFonts w:hint="eastAsia" w:ascii="ＭＳ 明朝" w:hAnsi="ＭＳ 明朝" w:eastAsia="ＭＳ 明朝" w:cs="ＭＳ 明朝"/>
          <w:sz w:val="21"/>
          <w:szCs w:val="21"/>
        </w:rPr>
        <w:t>月29日財国第</w:t>
      </w:r>
      <w:r>
        <w:rPr>
          <w:rFonts w:hint="eastAsia" w:ascii="ＭＳ 明朝" w:hAnsi="ＭＳ 明朝" w:eastAsia="ＭＳ 明朝" w:cs="ＭＳ 明朝"/>
          <w:sz w:val="21"/>
          <w:szCs w:val="21"/>
          <w:lang w:val="en-US" w:eastAsia="ja-JP"/>
        </w:rPr>
        <w:t>2262</w:t>
      </w:r>
      <w:r>
        <w:rPr>
          <w:rFonts w:hint="eastAsia" w:ascii="ＭＳ 明朝" w:hAnsi="ＭＳ 明朝" w:eastAsia="ＭＳ 明朝" w:cs="ＭＳ 明朝"/>
          <w:sz w:val="21"/>
          <w:szCs w:val="21"/>
        </w:rPr>
        <w:t>号</w:t>
      </w:r>
    </w:p>
    <w:p>
      <w:pPr>
        <w:rPr>
          <w:rFonts w:hint="eastAsia" w:ascii="ＭＳ 明朝" w:hAnsi="ＭＳ 明朝" w:eastAsia="ＭＳ 明朝" w:cs="ＭＳ 明朝"/>
          <w:sz w:val="21"/>
          <w:szCs w:val="21"/>
        </w:rPr>
      </w:pPr>
    </w:p>
    <w:p>
      <w:pPr>
        <w:autoSpaceDE w:val="0"/>
        <w:autoSpaceDN w:val="0"/>
        <w:ind w:firstLine="210" w:firstLineChars="1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標記について、令和</w:t>
      </w:r>
      <w:r>
        <w:rPr>
          <w:rFonts w:hint="eastAsia" w:ascii="ＭＳ 明朝" w:hAnsi="ＭＳ 明朝" w:cs="ＭＳ 明朝"/>
          <w:sz w:val="21"/>
          <w:szCs w:val="21"/>
          <w:lang w:val="en-US" w:eastAsia="ja-JP"/>
        </w:rPr>
        <w:t>4</w:t>
      </w:r>
      <w:r>
        <w:rPr>
          <w:rFonts w:hint="eastAsia" w:ascii="ＭＳ 明朝" w:hAnsi="ＭＳ 明朝" w:eastAsia="ＭＳ 明朝" w:cs="ＭＳ 明朝"/>
          <w:sz w:val="21"/>
          <w:szCs w:val="21"/>
        </w:rPr>
        <w:t>年</w:t>
      </w:r>
      <w:r>
        <w:rPr>
          <w:rFonts w:hint="eastAsia" w:ascii="ＭＳ 明朝" w:hAnsi="ＭＳ 明朝" w:cs="ＭＳ 明朝"/>
          <w:sz w:val="21"/>
          <w:szCs w:val="21"/>
          <w:lang w:val="en-US" w:eastAsia="ja-JP"/>
        </w:rPr>
        <w:t>7</w:t>
      </w:r>
      <w:r>
        <w:rPr>
          <w:rFonts w:hint="eastAsia" w:ascii="ＭＳ 明朝" w:hAnsi="ＭＳ 明朝" w:eastAsia="ＭＳ 明朝" w:cs="ＭＳ 明朝"/>
          <w:sz w:val="21"/>
          <w:szCs w:val="21"/>
        </w:rPr>
        <w:t>月</w:t>
      </w:r>
      <w:r>
        <w:rPr>
          <w:rFonts w:hint="eastAsia" w:ascii="ＭＳ 明朝" w:hAnsi="ＭＳ 明朝" w:cs="ＭＳ 明朝"/>
          <w:sz w:val="21"/>
          <w:szCs w:val="21"/>
          <w:lang w:val="en-US" w:eastAsia="ja-JP"/>
        </w:rPr>
        <w:t>5</w:t>
      </w:r>
      <w:r>
        <w:rPr>
          <w:rFonts w:hint="eastAsia" w:ascii="ＭＳ 明朝" w:hAnsi="ＭＳ 明朝" w:eastAsia="ＭＳ 明朝" w:cs="ＭＳ 明朝"/>
          <w:sz w:val="21"/>
          <w:szCs w:val="21"/>
        </w:rPr>
        <w:t>日の閣議了解「ロシア連邦関係者に対する資産凍結等の措置等について」により、ロシア連邦からの貴金属（金）の輸入を禁止する措置を導入することとした。</w:t>
      </w:r>
    </w:p>
    <w:p>
      <w:pPr>
        <w:autoSpaceDE w:val="0"/>
        <w:autoSpaceDN w:val="0"/>
        <w:ind w:firstLine="210" w:firstLineChars="1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これを受けて、令和</w:t>
      </w:r>
      <w:r>
        <w:rPr>
          <w:rFonts w:hint="eastAsia" w:ascii="ＭＳ 明朝" w:hAnsi="ＭＳ 明朝" w:cs="ＭＳ 明朝"/>
          <w:sz w:val="21"/>
          <w:szCs w:val="21"/>
          <w:lang w:val="en-US" w:eastAsia="ja-JP"/>
        </w:rPr>
        <w:t>4</w:t>
      </w:r>
      <w:r>
        <w:rPr>
          <w:rFonts w:hint="eastAsia" w:ascii="ＭＳ 明朝" w:hAnsi="ＭＳ 明朝" w:eastAsia="ＭＳ 明朝" w:cs="ＭＳ 明朝"/>
          <w:sz w:val="21"/>
          <w:szCs w:val="21"/>
        </w:rPr>
        <w:t>年</w:t>
      </w:r>
      <w:r>
        <w:rPr>
          <w:rFonts w:hint="eastAsia" w:ascii="ＭＳ 明朝" w:hAnsi="ＭＳ 明朝" w:cs="ＭＳ 明朝"/>
          <w:sz w:val="21"/>
          <w:szCs w:val="21"/>
          <w:lang w:val="en-US" w:eastAsia="ja-JP"/>
        </w:rPr>
        <w:t>7</w:t>
      </w:r>
      <w:r>
        <w:rPr>
          <w:rFonts w:hint="eastAsia" w:ascii="ＭＳ 明朝" w:hAnsi="ＭＳ 明朝" w:eastAsia="ＭＳ 明朝" w:cs="ＭＳ 明朝"/>
          <w:sz w:val="21"/>
          <w:szCs w:val="21"/>
        </w:rPr>
        <w:t>月</w:t>
      </w:r>
      <w:r>
        <w:rPr>
          <w:rFonts w:hint="eastAsia" w:ascii="ＭＳ 明朝" w:hAnsi="ＭＳ 明朝" w:cs="ＭＳ 明朝"/>
          <w:sz w:val="21"/>
          <w:szCs w:val="21"/>
          <w:lang w:val="en-US" w:eastAsia="ja-JP"/>
        </w:rPr>
        <w:t>25</w:t>
      </w:r>
      <w:r>
        <w:rPr>
          <w:rFonts w:hint="eastAsia" w:ascii="ＭＳ 明朝" w:hAnsi="ＭＳ 明朝" w:eastAsia="ＭＳ 明朝" w:cs="ＭＳ 明朝"/>
          <w:sz w:val="21"/>
          <w:szCs w:val="21"/>
        </w:rPr>
        <w:t>日付で外国為替及び外国貿易法（昭和</w:t>
      </w:r>
      <w:r>
        <w:rPr>
          <w:rFonts w:hint="eastAsia" w:ascii="ＭＳ 明朝" w:hAnsi="ＭＳ 明朝" w:cs="ＭＳ 明朝"/>
          <w:sz w:val="21"/>
          <w:szCs w:val="21"/>
          <w:lang w:val="en-US" w:eastAsia="ja-JP"/>
        </w:rPr>
        <w:t>24</w:t>
      </w:r>
      <w:r>
        <w:rPr>
          <w:rFonts w:hint="eastAsia" w:ascii="ＭＳ 明朝" w:hAnsi="ＭＳ 明朝" w:eastAsia="ＭＳ 明朝" w:cs="ＭＳ 明朝"/>
          <w:sz w:val="21"/>
          <w:szCs w:val="21"/>
        </w:rPr>
        <w:t>年法律第</w:t>
      </w:r>
      <w:r>
        <w:rPr>
          <w:rFonts w:hint="eastAsia" w:ascii="ＭＳ 明朝" w:hAnsi="ＭＳ 明朝" w:cs="ＭＳ 明朝"/>
          <w:sz w:val="21"/>
          <w:szCs w:val="21"/>
          <w:lang w:val="en-US" w:eastAsia="ja-JP"/>
        </w:rPr>
        <w:t>228</w:t>
      </w:r>
      <w:r>
        <w:rPr>
          <w:rFonts w:hint="eastAsia" w:ascii="ＭＳ 明朝" w:hAnsi="ＭＳ 明朝" w:eastAsia="ＭＳ 明朝" w:cs="ＭＳ 明朝"/>
          <w:sz w:val="21"/>
          <w:szCs w:val="21"/>
        </w:rPr>
        <w:t>号。以下「外為法」という。）第</w:t>
      </w:r>
      <w:r>
        <w:rPr>
          <w:rFonts w:hint="eastAsia" w:ascii="ＭＳ 明朝" w:hAnsi="ＭＳ 明朝" w:cs="ＭＳ 明朝"/>
          <w:sz w:val="21"/>
          <w:szCs w:val="21"/>
          <w:lang w:val="en-US" w:eastAsia="ja-JP"/>
        </w:rPr>
        <w:t>19</w:t>
      </w:r>
      <w:r>
        <w:rPr>
          <w:rFonts w:hint="eastAsia" w:ascii="ＭＳ 明朝" w:hAnsi="ＭＳ 明朝" w:eastAsia="ＭＳ 明朝" w:cs="ＭＳ 明朝"/>
          <w:sz w:val="21"/>
          <w:szCs w:val="21"/>
        </w:rPr>
        <w:t>条第</w:t>
      </w:r>
      <w:r>
        <w:rPr>
          <w:rFonts w:hint="eastAsia" w:ascii="ＭＳ 明朝" w:hAnsi="ＭＳ 明朝" w:cs="ＭＳ 明朝"/>
          <w:sz w:val="21"/>
          <w:szCs w:val="21"/>
          <w:lang w:val="en-US" w:eastAsia="ja-JP"/>
        </w:rPr>
        <w:t>2</w:t>
      </w:r>
      <w:r>
        <w:rPr>
          <w:rFonts w:hint="eastAsia" w:ascii="ＭＳ 明朝" w:hAnsi="ＭＳ 明朝" w:eastAsia="ＭＳ 明朝" w:cs="ＭＳ 明朝"/>
          <w:sz w:val="21"/>
          <w:szCs w:val="21"/>
        </w:rPr>
        <w:t>項の規定に基づく下記の財務省告示を改正の上、ロシア連邦を原産地とする貴金属（外為法第</w:t>
      </w:r>
      <w:r>
        <w:rPr>
          <w:rFonts w:hint="eastAsia" w:ascii="ＭＳ 明朝" w:hAnsi="ＭＳ 明朝" w:cs="ＭＳ 明朝"/>
          <w:sz w:val="21"/>
          <w:szCs w:val="21"/>
          <w:lang w:val="en-US" w:eastAsia="ja-JP"/>
        </w:rPr>
        <w:t>6</w:t>
      </w:r>
      <w:r>
        <w:rPr>
          <w:rFonts w:hint="eastAsia" w:ascii="ＭＳ 明朝" w:hAnsi="ＭＳ 明朝" w:eastAsia="ＭＳ 明朝" w:cs="ＭＳ 明朝"/>
          <w:sz w:val="21"/>
          <w:szCs w:val="21"/>
        </w:rPr>
        <w:t>条第</w:t>
      </w:r>
      <w:r>
        <w:rPr>
          <w:rFonts w:hint="eastAsia" w:ascii="ＭＳ 明朝" w:hAnsi="ＭＳ 明朝" w:cs="ＭＳ 明朝"/>
          <w:sz w:val="21"/>
          <w:szCs w:val="21"/>
          <w:lang w:val="en-US" w:eastAsia="ja-JP"/>
        </w:rPr>
        <w:t>1</w:t>
      </w:r>
      <w:r>
        <w:rPr>
          <w:rFonts w:hint="eastAsia" w:ascii="ＭＳ 明朝" w:hAnsi="ＭＳ 明朝" w:eastAsia="ＭＳ 明朝" w:cs="ＭＳ 明朝"/>
          <w:sz w:val="21"/>
          <w:szCs w:val="21"/>
        </w:rPr>
        <w:t>項第</w:t>
      </w:r>
      <w:r>
        <w:rPr>
          <w:rFonts w:hint="eastAsia" w:ascii="ＭＳ 明朝" w:hAnsi="ＭＳ 明朝" w:cs="ＭＳ 明朝"/>
          <w:sz w:val="21"/>
          <w:szCs w:val="21"/>
          <w:lang w:val="en-US" w:eastAsia="ja-JP"/>
        </w:rPr>
        <w:t>10</w:t>
      </w:r>
      <w:r>
        <w:rPr>
          <w:rFonts w:hint="eastAsia" w:ascii="ＭＳ 明朝" w:hAnsi="ＭＳ 明朝" w:eastAsia="ＭＳ 明朝" w:cs="ＭＳ 明朝"/>
          <w:sz w:val="21"/>
          <w:szCs w:val="21"/>
        </w:rPr>
        <w:t>号に規定する貴金属をいう。以下同じ。）の輸入を税関長の許可制とし、令和</w:t>
      </w:r>
      <w:r>
        <w:rPr>
          <w:rFonts w:hint="eastAsia" w:ascii="ＭＳ 明朝" w:hAnsi="ＭＳ 明朝" w:cs="ＭＳ 明朝"/>
          <w:sz w:val="21"/>
          <w:szCs w:val="21"/>
          <w:lang w:val="en-US" w:eastAsia="ja-JP"/>
        </w:rPr>
        <w:t>4</w:t>
      </w:r>
      <w:r>
        <w:rPr>
          <w:rFonts w:hint="eastAsia" w:ascii="ＭＳ 明朝" w:hAnsi="ＭＳ 明朝" w:eastAsia="ＭＳ 明朝" w:cs="ＭＳ 明朝"/>
          <w:sz w:val="21"/>
          <w:szCs w:val="21"/>
        </w:rPr>
        <w:t>年</w:t>
      </w:r>
      <w:r>
        <w:rPr>
          <w:rFonts w:hint="eastAsia" w:ascii="ＭＳ 明朝" w:hAnsi="ＭＳ 明朝" w:cs="ＭＳ 明朝"/>
          <w:sz w:val="21"/>
          <w:szCs w:val="21"/>
          <w:lang w:val="en-US" w:eastAsia="ja-JP"/>
        </w:rPr>
        <w:t>8</w:t>
      </w:r>
      <w:r>
        <w:rPr>
          <w:rFonts w:hint="eastAsia" w:ascii="ＭＳ 明朝" w:hAnsi="ＭＳ 明朝" w:eastAsia="ＭＳ 明朝" w:cs="ＭＳ 明朝"/>
          <w:sz w:val="21"/>
          <w:szCs w:val="21"/>
        </w:rPr>
        <w:t>月</w:t>
      </w:r>
      <w:r>
        <w:rPr>
          <w:rFonts w:hint="eastAsia" w:ascii="ＭＳ 明朝" w:hAnsi="ＭＳ 明朝" w:cs="ＭＳ 明朝"/>
          <w:sz w:val="21"/>
          <w:szCs w:val="21"/>
          <w:lang w:val="en-US" w:eastAsia="ja-JP"/>
        </w:rPr>
        <w:t>1</w:t>
      </w:r>
      <w:r>
        <w:rPr>
          <w:rFonts w:hint="eastAsia" w:ascii="ＭＳ 明朝" w:hAnsi="ＭＳ 明朝" w:eastAsia="ＭＳ 明朝" w:cs="ＭＳ 明朝"/>
          <w:sz w:val="21"/>
          <w:szCs w:val="21"/>
        </w:rPr>
        <w:t>日より適用することとした。</w:t>
      </w:r>
    </w:p>
    <w:p>
      <w:pPr>
        <w:autoSpaceDE w:val="0"/>
        <w:autoSpaceDN w:val="0"/>
        <w:ind w:left="210" w:hanging="210" w:hangingChars="1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・外国為替及び外国貿易法第19条第2項の規定に基づく財務大臣の許可を受けなければならない貴金属の輸出又は輸入を指定する件（平成18年財務省告示第443号。以下「貴金属告示」という。）</w:t>
      </w:r>
    </w:p>
    <w:p>
      <w:pPr>
        <w:autoSpaceDE w:val="0"/>
        <w:autoSpaceDN w:val="0"/>
        <w:ind w:firstLine="210" w:firstLineChars="1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上記措置について、閣議了解及び外為法の規制の趣旨を踏まえ、税関において、国際局と連携の上、以下のとおり適切に対応願いたい。</w:t>
      </w:r>
    </w:p>
    <w:p>
      <w:pPr>
        <w:autoSpaceDE w:val="0"/>
        <w:autoSpaceDN w:val="0"/>
        <w:ind w:left="210" w:hanging="210" w:hangingChars="1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１．貴金属の輸入に係る措置</w:t>
      </w:r>
    </w:p>
    <w:p>
      <w:pPr>
        <w:autoSpaceDE w:val="0"/>
        <w:autoSpaceDN w:val="0"/>
        <w:ind w:left="420" w:leftChars="100" w:hanging="210" w:hangingChars="1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イ　ロシア連邦を原産地とする貴金属の輸入に関して、外国為替令（昭和</w:t>
      </w:r>
      <w:r>
        <w:rPr>
          <w:rFonts w:hint="eastAsia" w:ascii="ＭＳ 明朝" w:hAnsi="ＭＳ 明朝" w:cs="ＭＳ 明朝"/>
          <w:sz w:val="21"/>
          <w:szCs w:val="21"/>
          <w:lang w:val="en-US" w:eastAsia="ja-JP"/>
        </w:rPr>
        <w:t>55</w:t>
      </w:r>
      <w:r>
        <w:rPr>
          <w:rFonts w:hint="eastAsia" w:ascii="ＭＳ 明朝" w:hAnsi="ＭＳ 明朝" w:eastAsia="ＭＳ 明朝" w:cs="ＭＳ 明朝"/>
          <w:sz w:val="21"/>
          <w:szCs w:val="21"/>
        </w:rPr>
        <w:t>年政令第</w:t>
      </w:r>
      <w:r>
        <w:rPr>
          <w:rFonts w:hint="eastAsia" w:ascii="ＭＳ 明朝" w:hAnsi="ＭＳ 明朝" w:cs="ＭＳ 明朝"/>
          <w:sz w:val="21"/>
          <w:szCs w:val="21"/>
          <w:lang w:val="en-US" w:eastAsia="ja-JP"/>
        </w:rPr>
        <w:t>260</w:t>
      </w:r>
      <w:r>
        <w:rPr>
          <w:rFonts w:hint="eastAsia" w:ascii="ＭＳ 明朝" w:hAnsi="ＭＳ 明朝" w:eastAsia="ＭＳ 明朝" w:cs="ＭＳ 明朝"/>
          <w:sz w:val="21"/>
          <w:szCs w:val="21"/>
        </w:rPr>
        <w:t>号）第</w:t>
      </w:r>
      <w:r>
        <w:rPr>
          <w:rFonts w:hint="eastAsia" w:ascii="ＭＳ 明朝" w:hAnsi="ＭＳ 明朝" w:cs="ＭＳ 明朝"/>
          <w:sz w:val="21"/>
          <w:szCs w:val="21"/>
          <w:lang w:val="en-US" w:eastAsia="ja-JP"/>
        </w:rPr>
        <w:t>8</w:t>
      </w:r>
      <w:r>
        <w:rPr>
          <w:rFonts w:hint="eastAsia" w:ascii="ＭＳ 明朝" w:hAnsi="ＭＳ 明朝" w:eastAsia="ＭＳ 明朝" w:cs="ＭＳ 明朝"/>
          <w:sz w:val="21"/>
          <w:szCs w:val="21"/>
        </w:rPr>
        <w:t>条第</w:t>
      </w:r>
      <w:r>
        <w:rPr>
          <w:rFonts w:hint="eastAsia" w:ascii="ＭＳ 明朝" w:hAnsi="ＭＳ 明朝" w:cs="ＭＳ 明朝"/>
          <w:sz w:val="21"/>
          <w:szCs w:val="21"/>
          <w:lang w:val="en-US" w:eastAsia="ja-JP"/>
        </w:rPr>
        <w:t>2</w:t>
      </w:r>
      <w:r>
        <w:rPr>
          <w:rFonts w:hint="eastAsia" w:ascii="ＭＳ 明朝" w:hAnsi="ＭＳ 明朝" w:eastAsia="ＭＳ 明朝" w:cs="ＭＳ 明朝"/>
          <w:sz w:val="21"/>
          <w:szCs w:val="21"/>
        </w:rPr>
        <w:t>項に基づく税関長に対する許可の申請があった場合には、「貴金属の輸出又は輸入の許可事務の処理要領について」（平成</w:t>
      </w:r>
      <w:r>
        <w:rPr>
          <w:rFonts w:hint="eastAsia" w:ascii="ＭＳ 明朝" w:hAnsi="ＭＳ 明朝" w:cs="ＭＳ 明朝"/>
          <w:sz w:val="21"/>
          <w:szCs w:val="21"/>
          <w:lang w:val="en-US" w:eastAsia="ja-JP"/>
        </w:rPr>
        <w:t>18</w:t>
      </w:r>
      <w:r>
        <w:rPr>
          <w:rFonts w:hint="eastAsia" w:ascii="ＭＳ 明朝" w:hAnsi="ＭＳ 明朝" w:eastAsia="ＭＳ 明朝" w:cs="ＭＳ 明朝"/>
          <w:sz w:val="21"/>
          <w:szCs w:val="21"/>
        </w:rPr>
        <w:t>年</w:t>
      </w:r>
      <w:r>
        <w:rPr>
          <w:rFonts w:hint="eastAsia" w:ascii="ＭＳ 明朝" w:hAnsi="ＭＳ 明朝" w:cs="ＭＳ 明朝"/>
          <w:sz w:val="21"/>
          <w:szCs w:val="21"/>
          <w:lang w:val="en-US" w:eastAsia="ja-JP"/>
        </w:rPr>
        <w:t>11</w:t>
      </w:r>
      <w:r>
        <w:rPr>
          <w:rFonts w:hint="eastAsia" w:ascii="ＭＳ 明朝" w:hAnsi="ＭＳ 明朝" w:eastAsia="ＭＳ 明朝" w:cs="ＭＳ 明朝"/>
          <w:sz w:val="21"/>
          <w:szCs w:val="21"/>
        </w:rPr>
        <w:t>月</w:t>
      </w:r>
      <w:r>
        <w:rPr>
          <w:rFonts w:hint="eastAsia" w:ascii="ＭＳ 明朝" w:hAnsi="ＭＳ 明朝" w:cs="ＭＳ 明朝"/>
          <w:sz w:val="21"/>
          <w:szCs w:val="21"/>
          <w:lang w:val="en-US" w:eastAsia="ja-JP"/>
        </w:rPr>
        <w:t>14</w:t>
      </w:r>
      <w:r>
        <w:rPr>
          <w:rFonts w:hint="eastAsia" w:ascii="ＭＳ 明朝" w:hAnsi="ＭＳ 明朝" w:eastAsia="ＭＳ 明朝" w:cs="ＭＳ 明朝"/>
          <w:sz w:val="21"/>
          <w:szCs w:val="21"/>
        </w:rPr>
        <w:t>日付財国第</w:t>
      </w:r>
      <w:r>
        <w:rPr>
          <w:rFonts w:hint="eastAsia" w:ascii="ＭＳ 明朝" w:hAnsi="ＭＳ 明朝" w:cs="ＭＳ 明朝"/>
          <w:sz w:val="21"/>
          <w:szCs w:val="21"/>
          <w:lang w:val="en-US" w:eastAsia="ja-JP"/>
        </w:rPr>
        <w:t>3363</w:t>
      </w:r>
      <w:r>
        <w:rPr>
          <w:rFonts w:hint="eastAsia" w:ascii="ＭＳ 明朝" w:hAnsi="ＭＳ 明朝" w:eastAsia="ＭＳ 明朝" w:cs="ＭＳ 明朝"/>
          <w:sz w:val="21"/>
          <w:szCs w:val="21"/>
        </w:rPr>
        <w:t>号）に基づき、適切に処理すること。</w:t>
      </w:r>
    </w:p>
    <w:p>
      <w:pPr>
        <w:autoSpaceDE w:val="0"/>
        <w:autoSpaceDN w:val="0"/>
        <w:ind w:left="420" w:leftChars="100" w:hanging="210" w:hangingChars="1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ロ　貴金属の輸入について、貴金属告示別表第三の解釈及び取扱いは、経済産業省通達「外国為替及び外国貿易法（輸入関係）基本通達」（昭和</w:t>
      </w:r>
      <w:r>
        <w:rPr>
          <w:rFonts w:hint="eastAsia" w:ascii="ＭＳ 明朝" w:hAnsi="ＭＳ 明朝" w:cs="ＭＳ 明朝"/>
          <w:sz w:val="21"/>
          <w:szCs w:val="21"/>
          <w:lang w:val="en-US" w:eastAsia="ja-JP"/>
        </w:rPr>
        <w:t>19</w:t>
      </w:r>
      <w:r>
        <w:rPr>
          <w:rFonts w:hint="eastAsia" w:ascii="ＭＳ 明朝" w:hAnsi="ＭＳ 明朝" w:eastAsia="ＭＳ 明朝" w:cs="ＭＳ 明朝"/>
          <w:sz w:val="21"/>
          <w:szCs w:val="21"/>
        </w:rPr>
        <w:t>年</w:t>
      </w:r>
      <w:r>
        <w:rPr>
          <w:rFonts w:hint="eastAsia" w:ascii="ＭＳ 明朝" w:hAnsi="ＭＳ 明朝" w:cs="ＭＳ 明朝"/>
          <w:sz w:val="21"/>
          <w:szCs w:val="21"/>
          <w:lang w:val="en-US" w:eastAsia="ja-JP"/>
        </w:rPr>
        <w:t>7</w:t>
      </w:r>
      <w:r>
        <w:rPr>
          <w:rFonts w:hint="eastAsia" w:ascii="ＭＳ 明朝" w:hAnsi="ＭＳ 明朝" w:eastAsia="ＭＳ 明朝" w:cs="ＭＳ 明朝"/>
          <w:sz w:val="21"/>
          <w:szCs w:val="21"/>
        </w:rPr>
        <w:t>月</w:t>
      </w:r>
      <w:r>
        <w:rPr>
          <w:rFonts w:hint="eastAsia" w:ascii="ＭＳ 明朝" w:hAnsi="ＭＳ 明朝" w:cs="ＭＳ 明朝"/>
          <w:sz w:val="21"/>
          <w:szCs w:val="21"/>
          <w:lang w:val="en-US" w:eastAsia="ja-JP"/>
        </w:rPr>
        <w:t>12</w:t>
      </w:r>
      <w:r>
        <w:rPr>
          <w:rFonts w:hint="eastAsia" w:ascii="ＭＳ 明朝" w:hAnsi="ＭＳ 明朝" w:eastAsia="ＭＳ 明朝" w:cs="ＭＳ 明朝"/>
          <w:sz w:val="21"/>
          <w:szCs w:val="21"/>
        </w:rPr>
        <w:t>日付平成</w:t>
      </w:r>
      <w:r>
        <w:rPr>
          <w:rFonts w:hint="eastAsia" w:ascii="ＭＳ 明朝" w:hAnsi="ＭＳ 明朝" w:cs="ＭＳ 明朝"/>
          <w:sz w:val="21"/>
          <w:szCs w:val="21"/>
          <w:lang w:val="en-US" w:eastAsia="ja-JP"/>
        </w:rPr>
        <w:t>19</w:t>
      </w:r>
      <w:r>
        <w:rPr>
          <w:rFonts w:hint="eastAsia" w:ascii="ＭＳ 明朝" w:hAnsi="ＭＳ 明朝" w:eastAsia="ＭＳ 明朝" w:cs="ＭＳ 明朝"/>
          <w:sz w:val="21"/>
          <w:szCs w:val="21"/>
        </w:rPr>
        <w:t>・</w:t>
      </w:r>
      <w:r>
        <w:rPr>
          <w:rFonts w:hint="eastAsia" w:ascii="ＭＳ 明朝" w:hAnsi="ＭＳ 明朝" w:cs="ＭＳ 明朝"/>
          <w:sz w:val="21"/>
          <w:szCs w:val="21"/>
          <w:lang w:val="en-US" w:eastAsia="ja-JP"/>
        </w:rPr>
        <w:t>03</w:t>
      </w:r>
      <w:r>
        <w:rPr>
          <w:rFonts w:hint="eastAsia" w:ascii="ＭＳ 明朝" w:hAnsi="ＭＳ 明朝" w:eastAsia="ＭＳ 明朝" w:cs="ＭＳ 明朝"/>
          <w:sz w:val="21"/>
          <w:szCs w:val="21"/>
        </w:rPr>
        <w:t>・</w:t>
      </w:r>
      <w:r>
        <w:rPr>
          <w:rFonts w:hint="eastAsia" w:ascii="ＭＳ 明朝" w:hAnsi="ＭＳ 明朝" w:cs="ＭＳ 明朝"/>
          <w:sz w:val="21"/>
          <w:szCs w:val="21"/>
          <w:lang w:val="en-US" w:eastAsia="ja-JP"/>
        </w:rPr>
        <w:t>28</w:t>
      </w:r>
      <w:r>
        <w:rPr>
          <w:rFonts w:hint="eastAsia" w:ascii="ＭＳ 明朝" w:hAnsi="ＭＳ 明朝" w:eastAsia="ＭＳ 明朝" w:cs="ＭＳ 明朝"/>
          <w:sz w:val="21"/>
          <w:szCs w:val="21"/>
        </w:rPr>
        <w:t>貿局第</w:t>
      </w:r>
      <w:r>
        <w:rPr>
          <w:rFonts w:hint="eastAsia" w:ascii="ＭＳ 明朝" w:hAnsi="ＭＳ 明朝" w:cs="ＭＳ 明朝"/>
          <w:sz w:val="21"/>
          <w:szCs w:val="21"/>
          <w:lang w:val="en-US" w:eastAsia="ja-JP"/>
        </w:rPr>
        <w:t>4</w:t>
      </w:r>
      <w:r>
        <w:rPr>
          <w:rFonts w:hint="eastAsia" w:ascii="ＭＳ 明朝" w:hAnsi="ＭＳ 明朝" w:eastAsia="ＭＳ 明朝" w:cs="ＭＳ 明朝"/>
          <w:sz w:val="21"/>
          <w:szCs w:val="21"/>
        </w:rPr>
        <w:t>号）の</w:t>
      </w:r>
      <w:r>
        <w:rPr>
          <w:rFonts w:hint="eastAsia" w:ascii="ＭＳ 明朝" w:hAnsi="ＭＳ 明朝" w:cs="ＭＳ 明朝"/>
          <w:sz w:val="21"/>
          <w:szCs w:val="21"/>
          <w:lang w:val="en-US" w:eastAsia="ja-JP"/>
        </w:rPr>
        <w:t>1</w:t>
      </w:r>
      <w:r>
        <w:rPr>
          <w:rFonts w:hint="eastAsia" w:ascii="ＭＳ 明朝" w:hAnsi="ＭＳ 明朝" w:eastAsia="ＭＳ 明朝" w:cs="ＭＳ 明朝"/>
          <w:sz w:val="21"/>
          <w:szCs w:val="21"/>
        </w:rPr>
        <w:t>―</w:t>
      </w:r>
      <w:r>
        <w:rPr>
          <w:rFonts w:hint="eastAsia" w:ascii="ＭＳ 明朝" w:hAnsi="ＭＳ 明朝" w:cs="ＭＳ 明朝"/>
          <w:sz w:val="21"/>
          <w:szCs w:val="21"/>
          <w:lang w:val="en-US" w:eastAsia="ja-JP"/>
        </w:rPr>
        <w:t>4</w:t>
      </w:r>
      <w:r>
        <w:rPr>
          <w:rFonts w:hint="eastAsia" w:ascii="ＭＳ 明朝" w:hAnsi="ＭＳ 明朝" w:eastAsia="ＭＳ 明朝" w:cs="ＭＳ 明朝"/>
          <w:sz w:val="21"/>
          <w:szCs w:val="21"/>
        </w:rPr>
        <w:t>―2―１及び１―</w:t>
      </w:r>
      <w:r>
        <w:rPr>
          <w:rFonts w:hint="eastAsia" w:ascii="ＭＳ 明朝" w:hAnsi="ＭＳ 明朝" w:cs="ＭＳ 明朝"/>
          <w:sz w:val="21"/>
          <w:szCs w:val="21"/>
          <w:lang w:val="en-US" w:eastAsia="ja-JP"/>
        </w:rPr>
        <w:t>4</w:t>
      </w:r>
      <w:r>
        <w:rPr>
          <w:rFonts w:hint="eastAsia" w:ascii="ＭＳ 明朝" w:hAnsi="ＭＳ 明朝" w:eastAsia="ＭＳ 明朝" w:cs="ＭＳ 明朝"/>
          <w:sz w:val="21"/>
          <w:szCs w:val="21"/>
        </w:rPr>
        <w:t>―2―2に定めるところに準じて行い、許可の要否を判断すること</w:t>
      </w:r>
    </w:p>
    <w:p>
      <w:pPr>
        <w:autoSpaceDE w:val="0"/>
        <w:autoSpaceDN w:val="0"/>
        <w:ind w:firstLine="210" w:firstLineChars="1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２．その他</w:t>
      </w:r>
    </w:p>
    <w:p>
      <w:pPr>
        <w:autoSpaceDE w:val="0"/>
        <w:autoSpaceDN w:val="0"/>
        <w:ind w:left="210" w:leftChars="100" w:firstLine="210" w:firstLineChars="10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本通達にしたがって対応することが困難な事案が発生した場合には、個別に国際局と協議及び調整をすること。</w:t>
      </w:r>
    </w:p>
    <w:p>
      <w:pPr>
        <w:autoSpaceDN w:val="0"/>
        <w:ind w:firstLine="210" w:firstLineChars="100"/>
        <w:sectPr>
          <w:pgSz w:w="11906" w:h="16838"/>
          <w:pgMar w:top="1985" w:right="1701" w:bottom="1701" w:left="1701" w:header="851" w:footer="992" w:gutter="0"/>
          <w:pgBorders>
            <w:top w:val="none" w:color="auto" w:sz="0" w:space="0"/>
            <w:left w:val="none" w:color="auto" w:sz="0" w:space="0"/>
            <w:bottom w:val="none" w:color="auto" w:sz="0" w:space="0"/>
            <w:right w:val="none" w:color="auto" w:sz="0" w:space="0"/>
          </w:pgBorders>
          <w:cols w:space="720" w:num="1"/>
          <w:docGrid w:type="lines" w:linePitch="360" w:charSpace="0"/>
        </w:sectPr>
      </w:pPr>
    </w:p>
    <w:p>
      <w:pPr>
        <w:rPr>
          <w:rFonts w:hint="eastAsia"/>
        </w:rPr>
      </w:pPr>
      <w:r>
        <w:rPr>
          <w:rFonts w:hint="eastAsia"/>
        </w:rPr>
        <w:t>○財務省告示第二百一号</w:t>
      </w:r>
    </w:p>
    <w:p>
      <w:pPr>
        <w:widowControl w:val="0"/>
        <w:wordWrap/>
        <w:adjustRightInd/>
        <w:snapToGrid/>
        <w:spacing w:line="240" w:lineRule="auto"/>
        <w:ind w:left="0" w:leftChars="0" w:right="0" w:firstLine="210" w:firstLineChars="100"/>
        <w:jc w:val="both"/>
        <w:textAlignment w:val="auto"/>
        <w:outlineLvl w:val="9"/>
        <w:rPr>
          <w:rFonts w:hint="eastAsia"/>
        </w:rPr>
      </w:pPr>
      <w:r>
        <w:rPr>
          <w:rFonts w:hint="eastAsia"/>
        </w:rPr>
        <w:t>国為替令（昭和五十五年政令第二百六十号）第八条第一項の規定に基づき、外国為替及び外国貿易法第十九条第二項の規定に基づく財務大臣の許可を受けなければならない貴金属の輸出又は輸入を指定する件（平成十八年十一月財務省告示第四百四十三号）の一部を次のように改正し、令和四年八月一日から適用する。</w:t>
      </w:r>
    </w:p>
    <w:p>
      <w:pPr>
        <w:ind w:leftChars="200"/>
        <w:rPr>
          <w:rFonts w:hint="eastAsia"/>
        </w:rPr>
      </w:pPr>
      <w:r>
        <w:rPr>
          <w:rFonts w:hint="eastAsia"/>
        </w:rPr>
        <w:t>令和四年</w:t>
      </w:r>
      <w:r>
        <w:rPr>
          <w:rFonts w:hint="eastAsia"/>
          <w:lang w:val="en-US" w:eastAsia="ja-JP"/>
        </w:rPr>
        <w:t>七</w:t>
      </w:r>
      <w:r>
        <w:rPr>
          <w:rFonts w:hint="eastAsia"/>
        </w:rPr>
        <w:t>月</w:t>
      </w:r>
      <w:r>
        <w:rPr>
          <w:rFonts w:hint="eastAsia"/>
          <w:lang w:val="en-US" w:eastAsia="ja-JP"/>
        </w:rPr>
        <w:t>二十五</w:t>
      </w:r>
      <w:r>
        <w:rPr>
          <w:rFonts w:hint="eastAsia"/>
        </w:rPr>
        <w:t>日</w:t>
      </w:r>
    </w:p>
    <w:p>
      <w:pPr>
        <w:ind w:left="2520" w:leftChars="1200" w:firstLine="840" w:firstLineChars="0"/>
      </w:pPr>
      <w:r>
        <w:tab/>
      </w:r>
      <w:r>
        <w:tab/>
      </w:r>
      <w:r>
        <w:tab/>
      </w:r>
      <w:r>
        <w:tab/>
      </w:r>
      <w:r>
        <w:tab/>
      </w:r>
      <w:r>
        <w:tab/>
      </w:r>
      <w:r>
        <w:tab/>
      </w:r>
      <w:r>
        <w:tab/>
      </w:r>
      <w:r>
        <w:tab/>
      </w:r>
      <w:r>
        <w:rPr>
          <w:rFonts w:hint="eastAsia"/>
          <w:lang w:eastAsia="ja-JP"/>
        </w:rPr>
        <w:t>財務</w:t>
      </w:r>
      <w:r>
        <w:rPr>
          <w:rFonts w:hint="eastAsia"/>
        </w:rPr>
        <w:t>大臣　鈴木</w:t>
      </w:r>
      <w:r>
        <w:rPr>
          <w:rFonts w:hint="eastAsia"/>
          <w:lang w:eastAsia="ja-JP"/>
        </w:rPr>
        <w:t>　</w:t>
      </w:r>
      <w:r>
        <w:rPr>
          <w:rFonts w:hint="eastAsia"/>
        </w:rPr>
        <w:t>俊一</w:t>
      </w:r>
    </w:p>
    <w:p>
      <w:pPr>
        <w:ind w:left="420" w:leftChars="200"/>
      </w:pPr>
    </w:p>
    <w:p>
      <w:pPr>
        <w:ind w:firstLine="210" w:firstLineChars="100"/>
        <w:rPr>
          <w:rFonts w:hint="eastAsia"/>
        </w:rPr>
      </w:pPr>
      <w:r>
        <w:rPr>
          <w:rFonts w:hint="eastAsia"/>
        </w:rPr>
        <w:t>次の表により、改正前欄及び改正後欄に対応して掲げるその標記部分に二重傍線を付した規定（以下「対象規定」という。）は、改正後欄に掲げる対象規定で改正前欄にこれに対応するものを掲げていないものは、これを加える。</w:t>
      </w:r>
    </w:p>
    <w:tbl>
      <w:tblPr>
        <w:tblStyle w:val="9"/>
        <w:tblW w:w="13036" w:type="dxa"/>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1"/>
        <w:gridCol w:w="3945"/>
        <w:gridCol w:w="1970"/>
        <w:gridCol w:w="240"/>
        <w:gridCol w:w="6520"/>
      </w:tblGrid>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516" w:type="dxa"/>
            <w:gridSpan w:val="4"/>
            <w:tcBorders>
              <w:top w:val="single" w:color="auto" w:sz="4" w:space="0"/>
              <w:bottom w:val="single" w:color="auto" w:sz="4" w:space="0"/>
              <w:right w:val="single" w:color="auto" w:sz="4" w:space="0"/>
            </w:tcBorders>
            <w:textDirection w:val="lrTbV"/>
            <w:vAlign w:val="top"/>
          </w:tcPr>
          <w:p>
            <w:pPr>
              <w:jc w:val="center"/>
            </w:pPr>
            <w:bookmarkStart w:id="0" w:name="_GoBack" w:colFirst="0" w:colLast="4"/>
            <w:r>
              <w:rPr>
                <w:rFonts w:hint="eastAsia"/>
              </w:rPr>
              <w:t>改　正　後</w:t>
            </w:r>
          </w:p>
        </w:tc>
        <w:tc>
          <w:tcPr>
            <w:tcW w:w="6520" w:type="dxa"/>
            <w:tcBorders>
              <w:top w:val="single" w:color="auto" w:sz="4" w:space="0"/>
              <w:left w:val="single" w:color="auto" w:sz="4" w:space="0"/>
              <w:bottom w:val="single" w:color="auto" w:sz="4" w:space="0"/>
            </w:tcBorders>
            <w:textDirection w:val="lrTbV"/>
            <w:vAlign w:val="top"/>
          </w:tcPr>
          <w:p>
            <w:pPr>
              <w:jc w:val="center"/>
            </w:pPr>
            <w:r>
              <w:rPr>
                <w:rFonts w:hint="eastAsia"/>
              </w:rPr>
              <w:t>改</w:t>
            </w:r>
            <w:r>
              <w:rPr>
                <w:rFonts w:hint="eastAsia"/>
                <w:lang w:eastAsia="ja-JP"/>
              </w:rPr>
              <w:t>　</w:t>
            </w:r>
            <w:r>
              <w:rPr>
                <w:rFonts w:hint="eastAsia"/>
              </w:rPr>
              <w:t>正</w:t>
            </w:r>
            <w:r>
              <w:rPr>
                <w:rFonts w:hint="eastAsia"/>
                <w:lang w:eastAsia="ja-JP"/>
              </w:rPr>
              <w:t>　</w:t>
            </w:r>
            <w:r>
              <w:rPr>
                <w:rFonts w:hint="eastAsia"/>
              </w:rPr>
              <w:t>前</w:t>
            </w:r>
          </w:p>
        </w:tc>
      </w:tr>
      <w:bookmarkEnd w:id="0"/>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94" w:hRule="atLeast"/>
        </w:trPr>
        <w:tc>
          <w:tcPr>
            <w:tcW w:w="6516" w:type="dxa"/>
            <w:gridSpan w:val="4"/>
            <w:tcBorders>
              <w:top w:val="single" w:color="auto" w:sz="4" w:space="0"/>
              <w:bottom w:val="nil"/>
              <w:right w:val="single" w:color="auto" w:sz="4" w:space="0"/>
            </w:tcBorders>
            <w:textDirection w:val="lrTbV"/>
            <w:vAlign w:val="top"/>
          </w:tcPr>
          <w:p>
            <w:pPr>
              <w:rPr>
                <w:rFonts w:hint="default"/>
              </w:rPr>
            </w:pPr>
            <w:r>
              <w:rPr>
                <w:rFonts w:hint="default"/>
              </w:rPr>
              <w:t>［一～三</w:t>
            </w:r>
            <w:r>
              <w:rPr>
                <w:rFonts w:hint="eastAsia"/>
                <w:lang w:eastAsia="ja-JP"/>
              </w:rPr>
              <w:t>　</w:t>
            </w:r>
            <w:r>
              <w:rPr>
                <w:rFonts w:hint="default"/>
              </w:rPr>
              <w:t>略］</w:t>
            </w:r>
          </w:p>
          <w:p>
            <w:pPr>
              <w:widowControl w:val="0"/>
              <w:wordWrap/>
              <w:adjustRightInd/>
              <w:snapToGrid/>
              <w:spacing w:line="240" w:lineRule="auto"/>
              <w:ind w:left="210" w:leftChars="0" w:right="0" w:hanging="210" w:hangingChars="100"/>
              <w:jc w:val="both"/>
              <w:textAlignment w:val="auto"/>
              <w:outlineLvl w:val="9"/>
              <w:rPr>
                <w:rFonts w:hint="default"/>
              </w:rPr>
            </w:pPr>
            <w:r>
              <w:rPr>
                <w:rFonts w:hint="eastAsia"/>
                <w:u w:val="double"/>
                <w:lang w:val="en-US" w:eastAsia="ja-JP"/>
              </w:rPr>
              <w:t>四</w:t>
            </w:r>
            <w:r>
              <w:rPr>
                <w:rFonts w:hint="eastAsia"/>
                <w:lang w:eastAsia="ja-JP"/>
              </w:rPr>
              <w:t>　</w:t>
            </w:r>
            <w:r>
              <w:rPr>
                <w:rFonts w:hint="default"/>
              </w:rPr>
              <w:t>居住者又は非居住者によるロシア連邦を原産地とする貴金属（令和四年八月一日以後にロシア連邦から積み出されたものに限る。）の輸入。ただし、別表第三上欄に掲げる者が本邦へ入国する際、同表下欄に掲げるものとして貴金属（令和四年八月一日以後にロシア連邦から積み出された金の地金、金の合金の地金又は流通していない金貨を除く。）を本人が携帯し、又は税関に申告の上別送して、輸入しようとする場合を除く。</w:t>
            </w:r>
          </w:p>
          <w:p>
            <w:pPr>
              <w:ind w:left="210" w:hanging="210" w:hangingChars="100"/>
            </w:pPr>
          </w:p>
          <w:p>
            <w:pPr>
              <w:ind w:left="210" w:hanging="210" w:hangingChars="100"/>
            </w:pPr>
            <w:r>
              <w:rPr>
                <w:rFonts w:hint="eastAsia"/>
                <w:sz w:val="21"/>
              </w:rPr>
              <w:t>［別表第一・別表第二　略］</w:t>
            </w:r>
          </w:p>
          <w:p>
            <w:pPr>
              <w:ind w:left="210" w:hanging="210" w:hangingChars="100"/>
            </w:pPr>
            <w:r>
              <w:rPr>
                <w:rFonts w:hint="default"/>
                <w:u w:val="double"/>
              </w:rPr>
              <w:t>別表第三</w:t>
            </w:r>
          </w:p>
        </w:tc>
        <w:tc>
          <w:tcPr>
            <w:tcW w:w="6520" w:type="dxa"/>
            <w:tcBorders>
              <w:top w:val="single" w:color="auto" w:sz="4" w:space="0"/>
              <w:left w:val="single" w:color="auto" w:sz="4" w:space="0"/>
              <w:bottom w:val="nil"/>
            </w:tcBorders>
            <w:textDirection w:val="lrTbV"/>
            <w:vAlign w:val="top"/>
          </w:tcPr>
          <w:p>
            <w:pPr>
              <w:ind w:left="210" w:hanging="210" w:hangingChars="100"/>
              <w:rPr>
                <w:rFonts w:hint="eastAsia"/>
              </w:rPr>
            </w:pPr>
            <w:r>
              <w:rPr>
                <w:rFonts w:hint="eastAsia"/>
              </w:rPr>
              <w:t>［一～三</w:t>
            </w:r>
            <w:r>
              <w:rPr>
                <w:rFonts w:hint="eastAsia"/>
                <w:lang w:eastAsia="ja-JP"/>
              </w:rPr>
              <w:t>　</w:t>
            </w:r>
            <w:r>
              <w:rPr>
                <w:rFonts w:hint="eastAsia"/>
              </w:rPr>
              <w:t>同上］</w:t>
            </w:r>
          </w:p>
          <w:p>
            <w:pPr>
              <w:ind w:left="210" w:hanging="210" w:hangingChars="100"/>
              <w:rPr>
                <w:rFonts w:hint="eastAsia"/>
              </w:rPr>
            </w:pPr>
            <w:r>
              <w:rPr>
                <w:rFonts w:hint="eastAsia"/>
              </w:rPr>
              <w:t>［新設］</w:t>
            </w:r>
          </w:p>
          <w:p>
            <w:pPr>
              <w:ind w:left="210" w:hanging="210" w:hangingChars="100"/>
              <w:rPr>
                <w:rFonts w:hint="eastAsia"/>
              </w:rPr>
            </w:pPr>
          </w:p>
          <w:p>
            <w:pPr>
              <w:ind w:left="210" w:hanging="210" w:hangingChars="100"/>
              <w:rPr>
                <w:rFonts w:hint="eastAsia"/>
              </w:rPr>
            </w:pPr>
          </w:p>
          <w:p>
            <w:pPr>
              <w:ind w:left="210" w:hanging="210" w:hangingChars="100"/>
              <w:rPr>
                <w:rFonts w:hint="eastAsia"/>
              </w:rPr>
            </w:pPr>
          </w:p>
          <w:p>
            <w:pPr>
              <w:ind w:left="210" w:hanging="210" w:hangingChars="100"/>
              <w:rPr>
                <w:rFonts w:hint="eastAsia"/>
              </w:rPr>
            </w:pPr>
          </w:p>
          <w:p>
            <w:pPr>
              <w:ind w:left="210" w:hanging="210" w:hangingChars="100"/>
              <w:rPr>
                <w:rFonts w:hint="eastAsia"/>
              </w:rPr>
            </w:pPr>
          </w:p>
          <w:p>
            <w:pPr>
              <w:ind w:left="210" w:hanging="210" w:hangingChars="100"/>
              <w:rPr>
                <w:rFonts w:hint="eastAsia"/>
              </w:rPr>
            </w:pPr>
          </w:p>
          <w:p>
            <w:pPr>
              <w:ind w:left="210" w:hanging="210" w:hangingChars="100"/>
              <w:rPr>
                <w:rFonts w:hint="eastAsia"/>
              </w:rPr>
            </w:pPr>
          </w:p>
          <w:p>
            <w:pPr>
              <w:ind w:left="210" w:hanging="210" w:hangingChars="100"/>
              <w:rPr>
                <w:rFonts w:hint="eastAsia"/>
              </w:rPr>
            </w:pPr>
            <w:r>
              <w:rPr>
                <w:rFonts w:hint="eastAsia"/>
              </w:rPr>
              <w:t>［別表第一・別表第二</w:t>
            </w:r>
            <w:r>
              <w:rPr>
                <w:rFonts w:hint="eastAsia"/>
                <w:lang w:eastAsia="ja-JP"/>
              </w:rPr>
              <w:t>　</w:t>
            </w:r>
            <w:r>
              <w:rPr>
                <w:rFonts w:hint="eastAsia"/>
              </w:rPr>
              <w:t>同上］</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3" w:hRule="atLeast"/>
        </w:trPr>
        <w:tc>
          <w:tcPr>
            <w:tcW w:w="361" w:type="dxa"/>
            <w:tcBorders>
              <w:top w:val="nil"/>
              <w:right w:val="single" w:color="auto" w:sz="4" w:space="0"/>
              <w:tl2br w:val="nil"/>
              <w:tr2bl w:val="nil"/>
            </w:tcBorders>
            <w:textDirection w:val="lrTbV"/>
            <w:vAlign w:val="top"/>
          </w:tcPr>
          <w:p>
            <w:pPr>
              <w:ind w:left="210" w:hanging="210" w:hangingChars="100"/>
            </w:pPr>
          </w:p>
        </w:tc>
        <w:tc>
          <w:tcPr>
            <w:tcW w:w="3945" w:type="dxa"/>
            <w:tcBorders>
              <w:top w:val="single" w:color="auto" w:sz="4" w:space="0"/>
              <w:left w:val="single" w:color="auto" w:sz="4" w:space="0"/>
              <w:bottom w:val="single" w:color="auto" w:sz="4" w:space="0"/>
              <w:right w:val="single" w:color="auto" w:sz="4" w:space="0"/>
            </w:tcBorders>
            <w:textDirection w:val="lrTbV"/>
            <w:vAlign w:val="top"/>
          </w:tcPr>
          <w:p>
            <w:pPr>
              <w:widowControl w:val="0"/>
              <w:wordWrap/>
              <w:adjustRightInd/>
              <w:snapToGrid/>
              <w:spacing w:line="240" w:lineRule="auto"/>
              <w:ind w:left="0" w:leftChars="0" w:right="0" w:firstLine="0" w:firstLineChars="0"/>
              <w:jc w:val="both"/>
              <w:textAlignment w:val="auto"/>
              <w:outlineLvl w:val="9"/>
            </w:pPr>
            <w:r>
              <w:rPr>
                <w:rFonts w:hint="default"/>
              </w:rPr>
              <w:t>一時的に入国する者又は一時的に出国して入国する者</w:t>
            </w:r>
          </w:p>
        </w:tc>
        <w:tc>
          <w:tcPr>
            <w:tcW w:w="1970" w:type="dxa"/>
            <w:tcBorders>
              <w:top w:val="single" w:color="auto" w:sz="4" w:space="0"/>
              <w:left w:val="single" w:color="auto" w:sz="4" w:space="0"/>
              <w:bottom w:val="single" w:color="auto" w:sz="4" w:space="0"/>
              <w:right w:val="single" w:color="auto" w:sz="4" w:space="0"/>
            </w:tcBorders>
            <w:textDirection w:val="lrTbV"/>
            <w:vAlign w:val="top"/>
          </w:tcPr>
          <w:p>
            <w:pPr>
              <w:widowControl w:val="0"/>
              <w:wordWrap/>
              <w:adjustRightInd/>
              <w:snapToGrid/>
              <w:spacing w:line="240" w:lineRule="auto"/>
              <w:ind w:left="0" w:leftChars="0" w:right="0" w:firstLine="0" w:firstLineChars="0"/>
              <w:jc w:val="both"/>
              <w:textAlignment w:val="auto"/>
              <w:outlineLvl w:val="9"/>
            </w:pPr>
            <w:r>
              <w:rPr>
                <w:rFonts w:hint="default"/>
              </w:rPr>
              <w:t>携帯品又は職業用具</w:t>
            </w:r>
          </w:p>
        </w:tc>
        <w:tc>
          <w:tcPr>
            <w:tcW w:w="240" w:type="dxa"/>
            <w:tcBorders>
              <w:top w:val="nil"/>
              <w:left w:val="single" w:color="auto" w:sz="4" w:space="0"/>
              <w:right w:val="single" w:color="auto" w:sz="4" w:space="0"/>
              <w:tl2br w:val="nil"/>
              <w:tr2bl w:val="nil"/>
            </w:tcBorders>
            <w:textDirection w:val="lrTbV"/>
            <w:vAlign w:val="top"/>
          </w:tcPr>
          <w:p>
            <w:pPr>
              <w:ind w:left="210" w:hanging="210" w:hangingChars="100"/>
            </w:pPr>
          </w:p>
        </w:tc>
        <w:tc>
          <w:tcPr>
            <w:tcW w:w="6520" w:type="dxa"/>
            <w:vMerge w:val="restart"/>
            <w:tcBorders>
              <w:top w:val="nil"/>
              <w:left w:val="single" w:color="auto" w:sz="4" w:space="0"/>
              <w:bottom w:val="single" w:color="auto" w:sz="4" w:space="0"/>
            </w:tcBorders>
            <w:textDirection w:val="lrTbV"/>
            <w:vAlign w:val="top"/>
          </w:tcPr>
          <w:p>
            <w:pPr>
              <w:ind w:left="210" w:hanging="210" w:hangingChars="100"/>
              <w:rPr>
                <w:rFonts w:hint="eastAsia"/>
              </w:rPr>
            </w:pPr>
            <w:r>
              <w:rPr>
                <w:rFonts w:hint="eastAsia"/>
              </w:rPr>
              <w:t>［新設］</w:t>
            </w:r>
          </w:p>
          <w:p>
            <w:pPr>
              <w:ind w:left="210" w:hanging="210" w:hangingChars="100"/>
              <w:rPr>
                <w:rFonts w:hint="eastAsia"/>
              </w:rPr>
            </w:pPr>
          </w:p>
          <w:p>
            <w:pPr>
              <w:ind w:left="210" w:hanging="210" w:hangingChars="100"/>
              <w:rPr>
                <w:rFonts w:hint="eastAsia"/>
              </w:rPr>
            </w:pPr>
          </w:p>
          <w:p>
            <w:pPr>
              <w:ind w:left="210" w:hanging="210" w:hangingChars="100"/>
              <w:rPr>
                <w:rFonts w:hint="eastAsia"/>
              </w:rPr>
            </w:pPr>
          </w:p>
          <w:p>
            <w:pPr>
              <w:ind w:left="210" w:hanging="210" w:hangingChars="100"/>
              <w:rPr>
                <w:rFonts w:hint="eastAsia"/>
              </w:rPr>
            </w:pPr>
            <w:r>
              <w:rPr>
                <w:rFonts w:hint="eastAsia"/>
              </w:rPr>
              <w:t>［備考　同上］</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3" w:hRule="atLeast"/>
        </w:trPr>
        <w:tc>
          <w:tcPr>
            <w:tcW w:w="361" w:type="dxa"/>
            <w:tcBorders>
              <w:right w:val="single" w:color="auto" w:sz="4" w:space="0"/>
              <w:tl2br w:val="nil"/>
              <w:tr2bl w:val="nil"/>
            </w:tcBorders>
            <w:textDirection w:val="lrTbV"/>
            <w:vAlign w:val="top"/>
          </w:tcPr>
          <w:p>
            <w:pPr>
              <w:ind w:left="210" w:hanging="210" w:hangingChars="100"/>
            </w:pPr>
          </w:p>
        </w:tc>
        <w:tc>
          <w:tcPr>
            <w:tcW w:w="3945" w:type="dxa"/>
            <w:tcBorders>
              <w:top w:val="single" w:color="auto" w:sz="4" w:space="0"/>
              <w:left w:val="single" w:color="auto" w:sz="4" w:space="0"/>
              <w:bottom w:val="single" w:color="auto" w:sz="4" w:space="0"/>
              <w:right w:val="single" w:color="auto" w:sz="4" w:space="0"/>
            </w:tcBorders>
            <w:textDirection w:val="lrTbV"/>
            <w:vAlign w:val="top"/>
          </w:tcPr>
          <w:p>
            <w:pPr>
              <w:widowControl w:val="0"/>
              <w:wordWrap/>
              <w:adjustRightInd/>
              <w:snapToGrid/>
              <w:spacing w:line="240" w:lineRule="auto"/>
              <w:ind w:left="0" w:leftChars="0" w:right="0" w:firstLine="0" w:firstLineChars="0"/>
              <w:jc w:val="both"/>
              <w:textAlignment w:val="auto"/>
              <w:outlineLvl w:val="9"/>
            </w:pPr>
            <w:r>
              <w:rPr>
                <w:rFonts w:hint="default"/>
              </w:rPr>
              <w:t>永住の目的をもって入国する者（一時的に出国して入国する者を除く。）</w:t>
            </w:r>
          </w:p>
        </w:tc>
        <w:tc>
          <w:tcPr>
            <w:tcW w:w="1970" w:type="dxa"/>
            <w:tcBorders>
              <w:top w:val="single" w:color="auto" w:sz="4" w:space="0"/>
              <w:left w:val="single" w:color="auto" w:sz="4" w:space="0"/>
              <w:bottom w:val="single" w:color="auto" w:sz="4" w:space="0"/>
              <w:right w:val="single" w:color="auto" w:sz="4" w:space="0"/>
            </w:tcBorders>
            <w:textDirection w:val="lrTbV"/>
            <w:vAlign w:val="top"/>
          </w:tcPr>
          <w:p>
            <w:pPr>
              <w:widowControl w:val="0"/>
              <w:wordWrap/>
              <w:adjustRightInd/>
              <w:snapToGrid/>
              <w:spacing w:line="240" w:lineRule="auto"/>
              <w:ind w:left="0" w:leftChars="0" w:right="0" w:firstLine="0" w:firstLineChars="0"/>
              <w:jc w:val="both"/>
              <w:textAlignment w:val="auto"/>
              <w:outlineLvl w:val="9"/>
            </w:pPr>
            <w:r>
              <w:rPr>
                <w:rFonts w:hint="default"/>
              </w:rPr>
              <w:t>携帯品、職業用具又は引越荷物</w:t>
            </w:r>
          </w:p>
        </w:tc>
        <w:tc>
          <w:tcPr>
            <w:tcW w:w="240" w:type="dxa"/>
            <w:tcBorders>
              <w:left w:val="single" w:color="auto" w:sz="4" w:space="0"/>
              <w:right w:val="single" w:color="auto" w:sz="4" w:space="0"/>
              <w:tl2br w:val="nil"/>
              <w:tr2bl w:val="nil"/>
            </w:tcBorders>
            <w:textDirection w:val="lrTbV"/>
            <w:vAlign w:val="top"/>
          </w:tcPr>
          <w:p>
            <w:pPr>
              <w:ind w:left="210" w:hanging="210" w:hangingChars="100"/>
            </w:pPr>
          </w:p>
        </w:tc>
        <w:tc>
          <w:tcPr>
            <w:tcW w:w="6520" w:type="dxa"/>
            <w:vMerge w:val="continue"/>
            <w:tcBorders>
              <w:top w:val="single" w:color="auto" w:sz="4" w:space="0"/>
              <w:left w:val="single" w:color="auto" w:sz="4" w:space="0"/>
              <w:bottom w:val="single" w:color="auto" w:sz="4" w:space="0"/>
              <w:tl2br w:val="nil"/>
              <w:tr2bl w:val="nil"/>
            </w:tcBorders>
            <w:textDirection w:val="lrTbV"/>
            <w:vAlign w:val="top"/>
          </w:tcPr>
          <w:p>
            <w:pPr>
              <w:ind w:left="210" w:hanging="210" w:hangingChars="100"/>
            </w:pP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3" w:hRule="atLeast"/>
        </w:trPr>
        <w:tc>
          <w:tcPr>
            <w:tcW w:w="6516" w:type="dxa"/>
            <w:gridSpan w:val="4"/>
            <w:tcBorders>
              <w:bottom w:val="single" w:color="auto" w:sz="4" w:space="0"/>
              <w:right w:val="single" w:color="auto" w:sz="4" w:space="0"/>
              <w:tl2br w:val="nil"/>
              <w:tr2bl w:val="nil"/>
            </w:tcBorders>
            <w:textDirection w:val="lrTbV"/>
            <w:vAlign w:val="top"/>
          </w:tcPr>
          <w:p>
            <w:pPr>
              <w:ind w:left="210" w:hanging="210" w:hangingChars="100"/>
            </w:pPr>
            <w:r>
              <w:rPr>
                <w:rFonts w:hint="default"/>
              </w:rPr>
              <w:t>［備考　略］</w:t>
            </w:r>
          </w:p>
        </w:tc>
        <w:tc>
          <w:tcPr>
            <w:tcW w:w="6520" w:type="dxa"/>
            <w:vMerge w:val="continue"/>
            <w:tcBorders>
              <w:top w:val="single" w:color="auto" w:sz="4" w:space="0"/>
              <w:left w:val="single" w:color="auto" w:sz="4" w:space="0"/>
              <w:bottom w:val="single" w:color="auto" w:sz="4" w:space="0"/>
              <w:tl2br w:val="nil"/>
              <w:tr2bl w:val="nil"/>
            </w:tcBorders>
            <w:textDirection w:val="lrTbV"/>
            <w:vAlign w:val="top"/>
          </w:tcPr>
          <w:p>
            <w:pPr>
              <w:ind w:left="210" w:hanging="210" w:hangingChars="100"/>
            </w:pP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036" w:type="dxa"/>
            <w:gridSpan w:val="5"/>
            <w:tcBorders>
              <w:top w:val="single" w:color="auto" w:sz="4" w:space="0"/>
              <w:left w:val="single" w:color="auto" w:sz="4" w:space="0"/>
              <w:bottom w:val="single" w:color="auto" w:sz="4" w:space="0"/>
              <w:right w:val="single" w:color="auto" w:sz="4" w:space="0"/>
            </w:tcBorders>
            <w:tcMar>
              <w:right w:w="0" w:type="dxa"/>
            </w:tcMar>
            <w:textDirection w:val="lrTbV"/>
            <w:vAlign w:val="top"/>
          </w:tcPr>
          <w:p>
            <w:r>
              <w:rPr>
                <w:rFonts w:hint="eastAsia"/>
              </w:rPr>
              <w:t>備考　表中の［　］は注記である。</w:t>
            </w:r>
          </w:p>
        </w:tc>
      </w:tr>
    </w:tbl>
    <w:p>
      <w:pPr>
        <w:widowControl/>
        <w:ind w:firstLine="210" w:firstLineChars="100"/>
        <w:jc w:val="left"/>
      </w:pPr>
    </w:p>
    <w:sectPr>
      <w:pgSz w:w="16838" w:h="11906" w:orient="landscape"/>
      <w:pgMar w:top="1701" w:right="1985" w:bottom="1701" w:left="1701" w:header="851" w:footer="992" w:gutter="0"/>
      <w:pgBorders>
        <w:top w:val="none" w:color="auto" w:sz="0" w:space="0"/>
        <w:left w:val="none" w:color="auto" w:sz="0" w:space="0"/>
        <w:bottom w:val="none" w:color="auto" w:sz="0" w:space="0"/>
        <w:right w:val="none" w:color="auto" w:sz="0" w:space="0"/>
      </w:pgBorders>
      <w:cols w:space="720" w:num="1"/>
      <w:textDirection w:val="lrTbV"/>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96010"/>
    <w:rsid w:val="0024518D"/>
    <w:rsid w:val="0025742B"/>
    <w:rsid w:val="00353F51"/>
    <w:rsid w:val="003F55C4"/>
    <w:rsid w:val="004019DD"/>
    <w:rsid w:val="004A6AC7"/>
    <w:rsid w:val="004C02AC"/>
    <w:rsid w:val="004F19C0"/>
    <w:rsid w:val="005079B4"/>
    <w:rsid w:val="00522C4D"/>
    <w:rsid w:val="005E3308"/>
    <w:rsid w:val="00632B2A"/>
    <w:rsid w:val="00660F89"/>
    <w:rsid w:val="00670D05"/>
    <w:rsid w:val="007937A6"/>
    <w:rsid w:val="0079427B"/>
    <w:rsid w:val="007B6F9C"/>
    <w:rsid w:val="007E68A7"/>
    <w:rsid w:val="00852934"/>
    <w:rsid w:val="00A04F1E"/>
    <w:rsid w:val="00A67B5F"/>
    <w:rsid w:val="00B51D25"/>
    <w:rsid w:val="00B96A2B"/>
    <w:rsid w:val="00C05A14"/>
    <w:rsid w:val="00C255A6"/>
    <w:rsid w:val="00C737BB"/>
    <w:rsid w:val="00CA3264"/>
    <w:rsid w:val="00D1601D"/>
    <w:rsid w:val="00D16CDE"/>
    <w:rsid w:val="00D654ED"/>
    <w:rsid w:val="00DA0E8E"/>
    <w:rsid w:val="00E50700"/>
    <w:rsid w:val="00E63470"/>
    <w:rsid w:val="00E7268B"/>
    <w:rsid w:val="00ED2F18"/>
    <w:rsid w:val="00F06710"/>
    <w:rsid w:val="00F17EE5"/>
    <w:rsid w:val="00FC4585"/>
    <w:rsid w:val="00FD690A"/>
    <w:rsid w:val="282152BE"/>
    <w:rsid w:val="2C1A6CEA"/>
    <w:rsid w:val="36473B37"/>
    <w:rsid w:val="78B644E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3"/>
    <w:unhideWhenUsed/>
    <w:uiPriority w:val="99"/>
    <w:pPr>
      <w:jc w:val="center"/>
    </w:pPr>
  </w:style>
  <w:style w:type="paragraph" w:styleId="3">
    <w:name w:val="Closing"/>
    <w:basedOn w:val="1"/>
    <w:link w:val="14"/>
    <w:unhideWhenUsed/>
    <w:uiPriority w:val="99"/>
    <w:pPr>
      <w:jc w:val="right"/>
    </w:pPr>
  </w:style>
  <w:style w:type="paragraph" w:styleId="4">
    <w:name w:val="Date"/>
    <w:basedOn w:val="1"/>
    <w:next w:val="1"/>
    <w:link w:val="12"/>
    <w:unhideWhenUsed/>
    <w:uiPriority w:val="99"/>
  </w:style>
  <w:style w:type="paragraph" w:styleId="5">
    <w:name w:val="footer"/>
    <w:basedOn w:val="1"/>
    <w:link w:val="11"/>
    <w:unhideWhenUsed/>
    <w:uiPriority w:val="99"/>
    <w:pPr>
      <w:tabs>
        <w:tab w:val="center" w:pos="4252"/>
        <w:tab w:val="right" w:pos="8504"/>
      </w:tabs>
      <w:snapToGrid w:val="0"/>
    </w:pPr>
  </w:style>
  <w:style w:type="paragraph" w:styleId="6">
    <w:name w:val="header"/>
    <w:basedOn w:val="1"/>
    <w:link w:val="10"/>
    <w:unhideWhenUsed/>
    <w:uiPriority w:val="99"/>
    <w:pPr>
      <w:tabs>
        <w:tab w:val="center" w:pos="4252"/>
        <w:tab w:val="right" w:pos="8504"/>
      </w:tabs>
      <w:snapToGrid w:val="0"/>
    </w:pPr>
  </w:style>
  <w:style w:type="table" w:styleId="9">
    <w:name w:val="Table Grid"/>
    <w:basedOn w:val="8"/>
    <w:uiPriority w:val="3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ヘッダー (文字)"/>
    <w:basedOn w:val="7"/>
    <w:link w:val="6"/>
    <w:uiPriority w:val="99"/>
    <w:rPr/>
  </w:style>
  <w:style w:type="character" w:customStyle="1" w:styleId="11">
    <w:name w:val="フッター (文字)"/>
    <w:basedOn w:val="7"/>
    <w:link w:val="5"/>
    <w:uiPriority w:val="99"/>
    <w:rPr/>
  </w:style>
  <w:style w:type="character" w:customStyle="1" w:styleId="12">
    <w:name w:val="日付 (文字)"/>
    <w:basedOn w:val="7"/>
    <w:link w:val="4"/>
    <w:semiHidden/>
    <w:uiPriority w:val="99"/>
    <w:rPr/>
  </w:style>
  <w:style w:type="character" w:customStyle="1" w:styleId="13">
    <w:name w:val="記 (文字)"/>
    <w:basedOn w:val="7"/>
    <w:link w:val="2"/>
    <w:uiPriority w:val="99"/>
    <w:rPr/>
  </w:style>
  <w:style w:type="character" w:customStyle="1" w:styleId="14">
    <w:name w:val="結語 (文字)"/>
    <w:basedOn w:val="7"/>
    <w:link w:val="3"/>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304</Words>
  <Characters>1736</Characters>
  <Lines>14</Lines>
  <Paragraphs>4</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2022-04-13T01:35:00Z</dcterms:created>
  <dc:creator>鈴木　恒久</dc:creator>
  <cp:lastModifiedBy>恒久</cp:lastModifiedBy>
  <cp:lastPrinted>2022-02-28T02:35:00Z</cp:lastPrinted>
  <dcterms:modified xsi:type="dcterms:W3CDTF">2024-09-03T00:49:37Z</dcterms:modified>
  <dc:title>ロシアを原産地とする貴金属の輸入の禁止措置に伴う税関の対応について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