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rPr>
      </w:pPr>
      <w:r>
        <w:rPr>
          <w:rFonts w:hint="eastAsia"/>
        </w:rPr>
        <w:t>ロシアを原産地とする非工業用ダイヤモンドの輸入の禁止措置に伴う税関の対応について</w:t>
      </w:r>
    </w:p>
    <w:p>
      <w:pPr>
        <w:rPr>
          <w:rFonts w:hint="eastAsia"/>
        </w:rPr>
      </w:pPr>
    </w:p>
    <w:p>
      <w:pPr>
        <w:ind w:firstLine="840"/>
      </w:pPr>
      <w:r>
        <w:rPr>
          <w:rFonts w:hint="eastAsia"/>
        </w:rPr>
        <w:t>令和6年4月10日財関第355号</w:t>
      </w:r>
    </w:p>
    <w:p/>
    <w:p>
      <w:pPr>
        <w:rPr>
          <w:rFonts w:hint="eastAsia"/>
        </w:rPr>
      </w:pPr>
    </w:p>
    <w:p>
      <w:pPr>
        <w:ind w:firstLine="210" w:firstLineChars="100"/>
        <w:rPr>
          <w:rFonts w:hint="eastAsia"/>
        </w:rPr>
      </w:pPr>
      <w:r>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24年法律第228号）により、ロシアからの非工業用ダイヤモンドの輸入に係る禁止措置を実施することが決定され、3月1日に「ロシア連邦関係者に対する資産凍結等の措置等について」が閣議了解されたところである。</w:t>
      </w:r>
    </w:p>
    <w:p>
      <w:pPr>
        <w:ind w:firstLine="210" w:firstLineChars="100"/>
        <w:rPr>
          <w:rFonts w:hint="eastAsia"/>
        </w:rPr>
      </w:pPr>
      <w:r>
        <w:rPr>
          <w:rFonts w:hint="eastAsia"/>
        </w:rPr>
        <w:t>これを受けて、ロシアを原産地とする非工業用ダイヤモンドの輸入の禁止措置を実施するため、輸入公表の一部を改正する経済産業省告示等が5月10日から施行される。</w:t>
      </w:r>
    </w:p>
    <w:p>
      <w:pPr>
        <w:ind w:firstLine="210" w:firstLineChars="100"/>
      </w:pPr>
      <w:r>
        <w:rPr>
          <w:rFonts w:hint="eastAsia"/>
        </w:rPr>
        <w:t>税関においては、経済産業省貿易経済協力局長からの通知（別紙）を踏まえ、関係省庁との連携を密にし、本輸入の禁止措置の実効性の確保に努めるため、下記により実施されたい。</w:t>
      </w:r>
    </w:p>
    <w:p>
      <w:pPr>
        <w:ind w:firstLine="210" w:firstLineChars="100"/>
        <w:rPr>
          <w:rFonts w:hint="eastAsia"/>
        </w:rPr>
      </w:pPr>
    </w:p>
    <w:p>
      <w:pPr>
        <w:jc w:val="center"/>
      </w:pPr>
      <w:r>
        <w:rPr>
          <w:rFonts w:hint="eastAsia"/>
        </w:rPr>
        <w:t>記</w:t>
      </w:r>
    </w:p>
    <w:p>
      <w:pPr>
        <w:ind w:left="210" w:hanging="210" w:hangingChars="100"/>
      </w:pPr>
    </w:p>
    <w:p>
      <w:pPr>
        <w:ind w:left="210" w:hanging="210" w:hangingChars="100"/>
        <w:rPr>
          <w:rFonts w:hint="eastAsia"/>
        </w:rPr>
      </w:pPr>
      <w:r>
        <w:rPr>
          <w:rFonts w:hint="eastAsia"/>
        </w:rPr>
        <w:t>１．税関における審査に際しては、経済産業大臣の確認書等の通関関係書類により経済産業大臣の輸入の承認の要否を確認すること。</w:t>
      </w:r>
    </w:p>
    <w:p>
      <w:pPr>
        <w:ind w:left="210" w:hanging="210" w:hangingChars="100"/>
        <w:rPr>
          <w:rFonts w:hint="eastAsia"/>
        </w:rPr>
      </w:pPr>
      <w:r>
        <w:rPr>
          <w:rFonts w:hint="eastAsia"/>
        </w:rPr>
        <w:t>２．上記により適正な通関の徹底を図るほか、輸入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pPr>
        <w:widowControl/>
        <w:jc w:val="left"/>
      </w:pPr>
      <w:r>
        <w:br w:type="page"/>
      </w:r>
    </w:p>
    <w:p>
      <w:pPr>
        <w:autoSpaceDN w:val="0"/>
        <w:ind w:left="210" w:hanging="210" w:hangingChars="100"/>
      </w:pPr>
    </w:p>
    <w:p>
      <w:pPr>
        <w:jc w:val="right"/>
      </w:pPr>
      <w:r>
        <w:rPr>
          <w:rFonts w:hint="eastAsia"/>
        </w:rPr>
        <w:t>別紙</w:t>
      </w:r>
    </w:p>
    <w:p/>
    <w:p>
      <w:pPr>
        <w:autoSpaceDN w:val="0"/>
        <w:jc w:val="right"/>
      </w:pPr>
      <w:r>
        <w:rPr>
          <w:rFonts w:hint="eastAsia"/>
        </w:rPr>
        <w:t>令和6年4月10日20240404貿局第2号</w:t>
      </w:r>
    </w:p>
    <w:p>
      <w:pPr>
        <w:autoSpaceDN w:val="0"/>
      </w:pPr>
    </w:p>
    <w:p>
      <w:pPr>
        <w:autoSpaceDN w:val="0"/>
      </w:pPr>
      <w:r>
        <w:rPr>
          <w:rFonts w:hint="eastAsia"/>
        </w:rPr>
        <w:t>財務省関税局長</w:t>
      </w:r>
      <w:r>
        <w:rPr>
          <w:rFonts w:hint="eastAsia"/>
          <w:lang w:eastAsia="ja-JP"/>
        </w:rPr>
        <w:t>　</w:t>
      </w:r>
      <w:r>
        <w:rPr>
          <w:rFonts w:hint="eastAsia"/>
        </w:rPr>
        <w:t>殿</w:t>
      </w:r>
    </w:p>
    <w:p>
      <w:pPr>
        <w:autoSpaceDN w:val="0"/>
      </w:pPr>
    </w:p>
    <w:p>
      <w:pPr>
        <w:autoSpaceDN w:val="0"/>
        <w:jc w:val="right"/>
      </w:pPr>
      <w:r>
        <w:rPr>
          <w:rFonts w:hint="eastAsia"/>
        </w:rPr>
        <w:t>経済産業省貿易経済協力局長</w:t>
      </w:r>
    </w:p>
    <w:p>
      <w:pPr>
        <w:autoSpaceDN w:val="0"/>
      </w:pPr>
    </w:p>
    <w:p>
      <w:pPr>
        <w:autoSpaceDN w:val="0"/>
        <w:jc w:val="center"/>
      </w:pPr>
      <w:r>
        <w:rPr>
          <w:rFonts w:hint="eastAsia"/>
        </w:rPr>
        <w:t>ロシアを原産地とするダイヤモンドの輸入禁止措置について</w:t>
      </w:r>
    </w:p>
    <w:p>
      <w:pPr>
        <w:autoSpaceDN w:val="0"/>
        <w:jc w:val="center"/>
      </w:pPr>
    </w:p>
    <w:p>
      <w:pPr>
        <w:autoSpaceDN w:val="0"/>
        <w:ind w:firstLine="210" w:firstLineChars="100"/>
        <w:sectPr>
          <w:pgSz w:w="11906" w:h="16838"/>
          <w:pgMar w:top="1985" w:right="1701" w:bottom="1701" w:left="1701" w:header="851" w:footer="992" w:gutter="0"/>
          <w:pgBorders>
            <w:top w:val="none" w:color="auto" w:sz="0" w:space="0"/>
            <w:left w:val="none" w:color="auto" w:sz="0" w:space="0"/>
            <w:bottom w:val="none" w:color="auto" w:sz="0" w:space="0"/>
            <w:right w:val="none" w:color="auto" w:sz="0" w:space="0"/>
          </w:pgBorders>
          <w:cols w:space="720" w:num="1"/>
          <w:docGrid w:type="lines" w:linePitch="360" w:charSpace="0"/>
        </w:sectPr>
      </w:pPr>
      <w:r>
        <w:rPr>
          <w:rFonts w:hint="eastAsia"/>
        </w:rPr>
        <w:t>上記の件について、令和6年3月1日付け閣議了解に基づき、別紙のとおり告示されることになるため、税関においても本改正の趣旨を踏まえ当省と連携の上、御対応方よろしくお願いいたします。</w:t>
      </w:r>
    </w:p>
    <w:p>
      <w:r>
        <w:rPr>
          <w:rFonts w:hint="eastAsia"/>
        </w:rPr>
        <w:t>○経済産業省告示第八十号</w:t>
      </w:r>
    </w:p>
    <w:p>
      <w:pPr>
        <w:ind w:firstLine="210" w:firstLineChars="100"/>
      </w:pPr>
      <w:r>
        <w:rPr>
          <w:rFonts w:hint="eastAsia"/>
        </w:rPr>
        <w:t>輸入貿易管理令（昭和二十四年政令第四百十四号）第三条第一項の規定に基づき、昭和四十一年通商産業省告示第百七十号（輸入割当てを受けるべき貨物の品目、輸入の承認を受けるべき貨物の原産地又は船積地域その他貨物の輸入について必要な事項の公表）の一部を次のように改正する。</w:t>
      </w:r>
    </w:p>
    <w:p>
      <w:pPr>
        <w:ind w:left="420" w:leftChars="200"/>
        <w:rPr>
          <w:rFonts w:hint="eastAsia"/>
        </w:rPr>
      </w:pPr>
      <w:r>
        <w:rPr>
          <w:rFonts w:hint="eastAsia"/>
        </w:rPr>
        <w:t>令和六年四月十日</w:t>
      </w:r>
      <w:r>
        <w:tab/>
      </w:r>
      <w:r>
        <w:tab/>
      </w:r>
      <w:r>
        <w:tab/>
      </w:r>
      <w:r>
        <w:tab/>
      </w:r>
      <w:r>
        <w:tab/>
      </w:r>
      <w:r>
        <w:tab/>
      </w:r>
      <w:r>
        <w:tab/>
      </w:r>
      <w:r>
        <w:tab/>
      </w:r>
      <w:r>
        <w:tab/>
      </w:r>
      <w:r>
        <w:rPr>
          <w:rFonts w:hint="eastAsia"/>
        </w:rPr>
        <w:t>経済産業大臣臨時代理</w:t>
      </w:r>
    </w:p>
    <w:p>
      <w:pPr>
        <w:ind w:left="420" w:leftChars="200" w:firstLine="9196" w:firstLineChars="0"/>
        <w:rPr>
          <w:rFonts w:hint="eastAsia"/>
        </w:rPr>
      </w:pPr>
      <w:r>
        <w:rPr>
          <w:rFonts w:hint="eastAsia"/>
        </w:rPr>
        <w:t>国務大臣</w:t>
      </w:r>
      <w:r>
        <w:rPr>
          <w:rFonts w:hint="eastAsia"/>
          <w:lang w:eastAsia="ja-JP"/>
        </w:rPr>
        <w:t>　</w:t>
      </w:r>
      <w:r>
        <w:rPr>
          <w:rFonts w:hint="eastAsia"/>
        </w:rPr>
        <w:t>新藤</w:t>
      </w:r>
      <w:r>
        <w:rPr>
          <w:rFonts w:hint="eastAsia"/>
          <w:lang w:eastAsia="ja-JP"/>
        </w:rPr>
        <w:t>　</w:t>
      </w:r>
      <w:r>
        <w:rPr>
          <w:rFonts w:hint="eastAsia"/>
        </w:rPr>
        <w:t>義孝</w:t>
      </w:r>
    </w:p>
    <w:p>
      <w:pPr>
        <w:ind w:left="420" w:leftChars="200"/>
        <w:rPr>
          <w:rFonts w:hint="eastAsia"/>
        </w:rPr>
      </w:pPr>
    </w:p>
    <w:p>
      <w:pPr>
        <w:ind w:left="420" w:leftChars="200"/>
      </w:pPr>
    </w:p>
    <w:p>
      <w:pPr>
        <w:ind w:firstLine="210" w:firstLineChars="100"/>
      </w:pPr>
      <w:r>
        <w:rPr>
          <w:rFonts w:hint="eastAsia"/>
        </w:rPr>
        <w:t>次の表により、改正後欄に二重下線を付した規定で改正前欄にこれに対応するものを掲げていないものは、これを加える。</w:t>
      </w:r>
    </w:p>
    <w:tbl>
      <w:tblPr>
        <w:tblStyle w:val="9"/>
        <w:tblW w:w="13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9"/>
        <w:gridCol w:w="507"/>
        <w:gridCol w:w="90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16" w:type="dxa"/>
            <w:gridSpan w:val="3"/>
            <w:tcBorders>
              <w:bottom w:val="single" w:color="auto" w:sz="4" w:space="0"/>
            </w:tcBorders>
            <w:textDirection w:val="lrTbV"/>
            <w:vAlign w:val="top"/>
          </w:tcPr>
          <w:p>
            <w:pPr>
              <w:jc w:val="center"/>
            </w:pPr>
            <w:bookmarkStart w:id="0" w:name="_GoBack" w:colFirst="0" w:colLast="3"/>
            <w:r>
              <w:rPr>
                <w:rFonts w:hint="eastAsia"/>
              </w:rPr>
              <w:t>改　正　後</w:t>
            </w:r>
          </w:p>
        </w:tc>
        <w:tc>
          <w:tcPr>
            <w:tcW w:w="6520" w:type="dxa"/>
            <w:tcBorders>
              <w:bottom w:val="single" w:color="auto" w:sz="4" w:space="0"/>
            </w:tcBorders>
            <w:textDirection w:val="lrTbV"/>
            <w:vAlign w:val="top"/>
          </w:tcPr>
          <w:p>
            <w:pPr>
              <w:jc w:val="center"/>
            </w:pPr>
            <w:r>
              <w:rPr>
                <w:rFonts w:hint="eastAsia"/>
              </w:rPr>
              <w:t>改</w:t>
            </w:r>
            <w:r>
              <w:rPr>
                <w:rFonts w:hint="eastAsia"/>
                <w:lang w:eastAsia="ja-JP"/>
              </w:rPr>
              <w:t>　</w:t>
            </w:r>
            <w:r>
              <w:rPr>
                <w:rFonts w:hint="eastAsia"/>
              </w:rPr>
              <w:t>正</w:t>
            </w:r>
            <w:r>
              <w:rPr>
                <w:rFonts w:hint="eastAsia"/>
                <w:lang w:eastAsia="ja-JP"/>
              </w:rPr>
              <w:t>　</w:t>
            </w:r>
            <w:r>
              <w:rPr>
                <w:rFonts w:hint="eastAsia"/>
              </w:rPr>
              <w:t>前</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15" w:hRule="atLeast"/>
        </w:trPr>
        <w:tc>
          <w:tcPr>
            <w:tcW w:w="6516" w:type="dxa"/>
            <w:gridSpan w:val="3"/>
            <w:tcBorders>
              <w:bottom w:val="nil"/>
            </w:tcBorders>
            <w:textDirection w:val="lrTbV"/>
            <w:vAlign w:val="top"/>
          </w:tcPr>
          <w:p>
            <w:pPr>
              <w:ind w:left="210" w:hanging="210" w:hangingChars="100"/>
            </w:pPr>
            <w:r>
              <w:rPr>
                <w:rFonts w:hint="eastAsia"/>
              </w:rPr>
              <w:t>二</w:t>
            </w:r>
            <w:r>
              <w:rPr>
                <w:rFonts w:hint="eastAsia"/>
                <w:lang w:eastAsia="ja-JP"/>
              </w:rPr>
              <w:t>　</w:t>
            </w:r>
            <w:r>
              <w:rPr>
                <w:rFonts w:hint="eastAsia"/>
              </w:rPr>
              <w:t>輸入貿易管理令（以下「令」という。）第四条第一項第二号の規定による輸入の承認（全地域を原産地又は船積地域とする貨物の輸入に係る承認を除く。以下「二号承認」という。）を受けるべき場合は、次の表の第一に掲げる貨物及び同表の第二に掲げる貨物を輸入するときとする。</w:t>
            </w:r>
          </w:p>
        </w:tc>
        <w:tc>
          <w:tcPr>
            <w:tcW w:w="6520" w:type="dxa"/>
            <w:tcBorders>
              <w:bottom w:val="nil"/>
            </w:tcBorders>
            <w:textDirection w:val="lrTbV"/>
            <w:vAlign w:val="top"/>
          </w:tcPr>
          <w:p>
            <w:pPr>
              <w:ind w:left="210" w:hanging="210" w:hangingChars="100"/>
            </w:pPr>
            <w:r>
              <w:rPr>
                <w:rFonts w:hint="eastAsia"/>
              </w:rPr>
              <w:t>二</w:t>
            </w:r>
            <w:r>
              <w:rPr>
                <w:rFonts w:hint="eastAsia"/>
                <w:lang w:eastAsia="ja-JP"/>
              </w:rPr>
              <w:t>　</w:t>
            </w:r>
            <w:r>
              <w:rPr>
                <w:rFonts w:hint="eastAsia"/>
              </w:rPr>
              <w:t>輸入貿易管理令（以下「令」という。）第四条第一項第二号の規定による輸入の承認（全地域を原産地又は船積地域とする貨物の輸入に係る承認を除く。以下「二号承認」という。）を受けるべき場合は、次の表の第一に掲げる貨物及び同表の第二に掲げる貨物を輸入するときと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0" w:hRule="atLeast"/>
        </w:trPr>
        <w:tc>
          <w:tcPr>
            <w:tcW w:w="6516" w:type="dxa"/>
            <w:gridSpan w:val="3"/>
            <w:tcBorders>
              <w:top w:val="nil"/>
              <w:bottom w:val="nil"/>
            </w:tcBorders>
            <w:vAlign w:val="top"/>
          </w:tcPr>
          <w:p>
            <w:pPr>
              <w:ind w:left="420" w:hanging="420" w:hangingChars="200"/>
            </w:pPr>
            <w:r>
              <w:rPr>
                <w:rFonts w:hint="eastAsia"/>
              </w:rPr>
              <w:t>第１</w:t>
            </w:r>
            <w:r>
              <w:rPr>
                <w:rFonts w:hint="eastAsia"/>
                <w:lang w:eastAsia="ja-JP"/>
              </w:rPr>
              <w:t>　</w:t>
            </w:r>
            <w:r>
              <w:rPr>
                <w:rFonts w:hint="eastAsia"/>
              </w:rPr>
              <w:t>次の表の左欄に掲げる地域を原産地又は船積地域とする同表の右欄に掲げる貨物</w:t>
            </w:r>
          </w:p>
        </w:tc>
        <w:tc>
          <w:tcPr>
            <w:tcW w:w="6520" w:type="dxa"/>
            <w:tcBorders>
              <w:top w:val="nil"/>
              <w:bottom w:val="nil"/>
            </w:tcBorders>
            <w:vAlign w:val="top"/>
          </w:tcPr>
          <w:p>
            <w:pPr>
              <w:ind w:left="420" w:leftChars="0" w:hanging="420" w:hangingChars="200"/>
            </w:pPr>
            <w:r>
              <w:rPr>
                <w:rFonts w:hint="eastAsia"/>
              </w:rPr>
              <w:t>第１</w:t>
            </w:r>
            <w:r>
              <w:rPr>
                <w:rFonts w:hint="eastAsia"/>
                <w:lang w:eastAsia="ja-JP"/>
              </w:rPr>
              <w:t>　</w:t>
            </w:r>
            <w:r>
              <w:rPr>
                <w:rFonts w:hint="eastAsia"/>
              </w:rPr>
              <w:t>次の表の左欄に掲げる地域を原産地又は船積地域とする同表の右欄に掲げる貨物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16" w:type="dxa"/>
            <w:gridSpan w:val="3"/>
            <w:tcBorders>
              <w:top w:val="nil"/>
              <w:bottom w:val="nil"/>
            </w:tcBorders>
            <w:vAlign w:val="top"/>
          </w:tcPr>
          <w:tbl>
            <w:tblPr>
              <w:tblStyle w:val="9"/>
              <w:tblW w:w="13096"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851"/>
              <w:gridCol w:w="1134"/>
              <w:gridCol w:w="2693"/>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restart"/>
                  <w:vAlign w:val="center"/>
                </w:tcPr>
                <w:p>
                  <w:pPr>
                    <w:jc w:val="center"/>
                  </w:pPr>
                  <w:r>
                    <w:rPr>
                      <w:rFonts w:hint="eastAsia"/>
                    </w:rPr>
                    <w:t>地域</w:t>
                  </w:r>
                </w:p>
              </w:tc>
              <w:tc>
                <w:tcPr>
                  <w:tcW w:w="4678" w:type="dxa"/>
                  <w:gridSpan w:val="3"/>
                  <w:vAlign w:val="top"/>
                </w:tcPr>
                <w:p>
                  <w:pPr>
                    <w:jc w:val="center"/>
                  </w:pPr>
                  <w:r>
                    <w:rPr>
                      <w:rFonts w:hint="eastAsia"/>
                    </w:rPr>
                    <w:t>貨物</w:t>
                  </w:r>
                </w:p>
              </w:tc>
              <w:tc>
                <w:tcPr>
                  <w:tcW w:w="6859" w:type="dxa"/>
                  <w:vMerge w:val="restart"/>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continue"/>
                  <w:vAlign w:val="top"/>
                </w:tcPr>
                <w:p/>
              </w:tc>
              <w:tc>
                <w:tcPr>
                  <w:tcW w:w="851" w:type="dxa"/>
                  <w:vAlign w:val="top"/>
                </w:tcPr>
                <w:p>
                  <w:pPr>
                    <w:jc w:val="center"/>
                  </w:pPr>
                  <w:r>
                    <w:rPr>
                      <w:rFonts w:hint="eastAsia"/>
                    </w:rPr>
                    <w:t>項目</w:t>
                  </w:r>
                </w:p>
                <w:p>
                  <w:pPr>
                    <w:jc w:val="center"/>
                  </w:pPr>
                  <w:r>
                    <w:rPr>
                      <w:rFonts w:hint="eastAsia"/>
                    </w:rPr>
                    <w:t>番号</w:t>
                  </w:r>
                </w:p>
              </w:tc>
              <w:tc>
                <w:tcPr>
                  <w:tcW w:w="1134" w:type="dxa"/>
                  <w:vAlign w:val="top"/>
                </w:tcPr>
                <w:p>
                  <w:pPr>
                    <w:jc w:val="center"/>
                  </w:pPr>
                  <w:r>
                    <w:rPr>
                      <w:rFonts w:hint="eastAsia"/>
                    </w:rPr>
                    <w:t>関税率表</w:t>
                  </w:r>
                </w:p>
                <w:p>
                  <w:pPr>
                    <w:jc w:val="center"/>
                  </w:pPr>
                  <w:r>
                    <w:rPr>
                      <w:rFonts w:hint="eastAsia"/>
                    </w:rPr>
                    <w:t>の番号等</w:t>
                  </w:r>
                </w:p>
              </w:tc>
              <w:tc>
                <w:tcPr>
                  <w:tcW w:w="2693" w:type="dxa"/>
                  <w:vAlign w:val="center"/>
                </w:tcPr>
                <w:p>
                  <w:pPr>
                    <w:jc w:val="center"/>
                  </w:pPr>
                  <w:r>
                    <w:rPr>
                      <w:rFonts w:hint="eastAsia"/>
                    </w:rPr>
                    <w:t>貨物名</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Align w:val="top"/>
                </w:tcPr>
                <w:p>
                  <w:r>
                    <w:t>[</w:t>
                  </w:r>
                  <w:r>
                    <w:rPr>
                      <w:rFonts w:hint="eastAsia"/>
                    </w:rPr>
                    <w:t>略</w:t>
                  </w:r>
                  <w:r>
                    <w:t>]</w:t>
                  </w:r>
                </w:p>
              </w:tc>
              <w:tc>
                <w:tcPr>
                  <w:tcW w:w="851" w:type="dxa"/>
                  <w:vAlign w:val="top"/>
                </w:tcPr>
                <w:p>
                  <w:r>
                    <w:t>[</w:t>
                  </w:r>
                  <w:r>
                    <w:rPr>
                      <w:rFonts w:hint="eastAsia"/>
                    </w:rPr>
                    <w:t>略</w:t>
                  </w:r>
                  <w:r>
                    <w:t>]</w:t>
                  </w:r>
                </w:p>
              </w:tc>
              <w:tc>
                <w:tcPr>
                  <w:tcW w:w="1134" w:type="dxa"/>
                  <w:vAlign w:val="top"/>
                </w:tcPr>
                <w:p>
                  <w:r>
                    <w:t>[</w:t>
                  </w:r>
                  <w:r>
                    <w:rPr>
                      <w:rFonts w:hint="eastAsia"/>
                    </w:rPr>
                    <w:t>略</w:t>
                  </w:r>
                  <w:r>
                    <w:t>]</w:t>
                  </w:r>
                </w:p>
              </w:tc>
              <w:tc>
                <w:tcPr>
                  <w:tcW w:w="2693" w:type="dxa"/>
                  <w:vAlign w:val="top"/>
                </w:tcPr>
                <w:p>
                  <w:r>
                    <w:t>[</w:t>
                  </w:r>
                  <w:r>
                    <w:rPr>
                      <w:rFonts w:hint="eastAsia"/>
                    </w:rPr>
                    <w:t>略</w:t>
                  </w:r>
                  <w:r>
                    <w:t>]</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restart"/>
                  <w:vAlign w:val="top"/>
                </w:tcPr>
                <w:p>
                  <w:r>
                    <w:rPr>
                      <w:rFonts w:hint="eastAsia"/>
                    </w:rPr>
                    <w:t>ロシア（原油及び石油製品についてはロシアを原産地とする場合に</w:t>
                  </w:r>
                  <w:r>
                    <w:rPr>
                      <w:rFonts w:hint="eastAsia"/>
                      <w:u w:val="single" w:color="auto"/>
                    </w:rPr>
                    <w:t>限る</w:t>
                  </w:r>
                  <w:r>
                    <w:rPr>
                      <w:rFonts w:hint="eastAsia"/>
                    </w:rPr>
                    <w:t>。）</w:t>
                  </w:r>
                </w:p>
              </w:tc>
              <w:tc>
                <w:tcPr>
                  <w:tcW w:w="851" w:type="dxa"/>
                  <w:vAlign w:val="top"/>
                </w:tcPr>
                <w:p>
                  <w:pPr>
                    <w:jc w:val="center"/>
                    <w:rPr>
                      <w:u w:val="double"/>
                    </w:rPr>
                  </w:pPr>
                  <w:r>
                    <w:rPr>
                      <w:u w:val="double"/>
                    </w:rPr>
                    <w:t>1</w:t>
                  </w:r>
                </w:p>
              </w:tc>
              <w:tc>
                <w:tcPr>
                  <w:tcW w:w="1134" w:type="dxa"/>
                  <w:vAlign w:val="top"/>
                </w:tcPr>
                <w:p>
                  <w:pPr>
                    <w:rPr>
                      <w:u w:val="double"/>
                    </w:rPr>
                  </w:pPr>
                  <w:r>
                    <w:t>[</w:t>
                  </w:r>
                  <w:r>
                    <w:rPr>
                      <w:rFonts w:hint="eastAsia"/>
                    </w:rPr>
                    <w:t>略</w:t>
                  </w:r>
                  <w:r>
                    <w:t>]</w:t>
                  </w:r>
                </w:p>
              </w:tc>
              <w:tc>
                <w:tcPr>
                  <w:tcW w:w="2693" w:type="dxa"/>
                  <w:vAlign w:val="top"/>
                </w:tcPr>
                <w:p>
                  <w:pPr>
                    <w:rPr>
                      <w:u w:val="double"/>
                    </w:rPr>
                  </w:pPr>
                  <w:r>
                    <w:t>[</w:t>
                  </w:r>
                  <w:r>
                    <w:rPr>
                      <w:rFonts w:hint="eastAsia"/>
                    </w:rPr>
                    <w:t>略</w:t>
                  </w:r>
                  <w:r>
                    <w:t>]</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continue"/>
                  <w:vAlign w:val="top"/>
                </w:tcPr>
                <w:p>
                  <w:pPr>
                    <w:rPr>
                      <w:rFonts w:hint="eastAsia"/>
                    </w:rPr>
                  </w:pPr>
                </w:p>
              </w:tc>
              <w:tc>
                <w:tcPr>
                  <w:tcW w:w="851" w:type="dxa"/>
                  <w:vAlign w:val="top"/>
                </w:tcPr>
                <w:p>
                  <w:pPr>
                    <w:jc w:val="center"/>
                    <w:rPr>
                      <w:u w:val="double"/>
                    </w:rPr>
                  </w:pPr>
                  <w:r>
                    <w:rPr>
                      <w:rFonts w:hint="eastAsia" w:ascii="ＭＳ 明朝" w:hAnsi="ＭＳ 明朝" w:eastAsia="ＭＳ 明朝" w:cs="ＭＳ 明朝"/>
                      <w:u w:val="double"/>
                    </w:rPr>
                    <w:t>2</w:t>
                  </w:r>
                </w:p>
              </w:tc>
              <w:tc>
                <w:tcPr>
                  <w:tcW w:w="1134" w:type="dxa"/>
                  <w:vAlign w:val="top"/>
                </w:tcPr>
                <w:p>
                  <w:pPr>
                    <w:rPr>
                      <w:u w:val="double"/>
                    </w:rPr>
                  </w:pPr>
                  <w:r>
                    <w:t>[</w:t>
                  </w:r>
                  <w:r>
                    <w:rPr>
                      <w:rFonts w:hint="eastAsia"/>
                    </w:rPr>
                    <w:t>略</w:t>
                  </w:r>
                  <w:r>
                    <w:t>]</w:t>
                  </w:r>
                </w:p>
              </w:tc>
              <w:tc>
                <w:tcPr>
                  <w:tcW w:w="2693" w:type="dxa"/>
                  <w:vAlign w:val="top"/>
                </w:tcPr>
                <w:p>
                  <w:pPr>
                    <w:rPr>
                      <w:rFonts w:hint="eastAsia"/>
                      <w:u w:val="double"/>
                    </w:rPr>
                  </w:pPr>
                  <w:r>
                    <w:t>[</w:t>
                  </w:r>
                  <w:r>
                    <w:rPr>
                      <w:rFonts w:hint="eastAsia"/>
                    </w:rPr>
                    <w:t>略</w:t>
                  </w:r>
                  <w:r>
                    <w:t>]</w:t>
                  </w:r>
                </w:p>
              </w:tc>
              <w:tc>
                <w:tcPr>
                  <w:tcW w:w="6859" w:type="dxa"/>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59" w:type="dxa"/>
                  <w:vMerge w:val="continue"/>
                  <w:vAlign w:val="top"/>
                </w:tcPr>
                <w:p>
                  <w:pPr>
                    <w:rPr>
                      <w:rFonts w:hint="eastAsia"/>
                    </w:rPr>
                  </w:pPr>
                </w:p>
              </w:tc>
              <w:tc>
                <w:tcPr>
                  <w:tcW w:w="851" w:type="dxa"/>
                  <w:vAlign w:val="top"/>
                </w:tcPr>
                <w:p>
                  <w:pPr>
                    <w:jc w:val="center"/>
                    <w:rPr>
                      <w:u w:val="double"/>
                    </w:rPr>
                  </w:pPr>
                  <w:r>
                    <w:rPr>
                      <w:u w:val="double"/>
                    </w:rPr>
                    <w:t>3</w:t>
                  </w:r>
                </w:p>
              </w:tc>
              <w:tc>
                <w:tcPr>
                  <w:tcW w:w="1134" w:type="dxa"/>
                  <w:vAlign w:val="top"/>
                </w:tcPr>
                <w:p>
                  <w:pPr>
                    <w:rPr>
                      <w:u w:val="double"/>
                    </w:rPr>
                  </w:pPr>
                  <w:r>
                    <w:t>[</w:t>
                  </w:r>
                  <w:r>
                    <w:rPr>
                      <w:rFonts w:hint="eastAsia"/>
                    </w:rPr>
                    <w:t>略</w:t>
                  </w:r>
                  <w:r>
                    <w:t>]</w:t>
                  </w:r>
                </w:p>
              </w:tc>
              <w:tc>
                <w:tcPr>
                  <w:tcW w:w="2693" w:type="dxa"/>
                  <w:vAlign w:val="top"/>
                </w:tcPr>
                <w:p>
                  <w:pPr>
                    <w:rPr>
                      <w:rFonts w:hint="eastAsia"/>
                      <w:u w:val="double"/>
                    </w:rPr>
                  </w:pPr>
                  <w:r>
                    <w:t>[</w:t>
                  </w:r>
                  <w:r>
                    <w:rPr>
                      <w:rFonts w:hint="eastAsia"/>
                    </w:rPr>
                    <w:t>略</w:t>
                  </w:r>
                  <w:r>
                    <w:t>]</w:t>
                  </w:r>
                </w:p>
              </w:tc>
              <w:tc>
                <w:tcPr>
                  <w:tcW w:w="6859" w:type="dxa"/>
                  <w:vMerge w:val="restart"/>
                  <w:tcBorders>
                    <w:top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59" w:type="dxa"/>
                  <w:vMerge w:val="continue"/>
                  <w:vAlign w:val="top"/>
                </w:tcPr>
                <w:p>
                  <w:pPr>
                    <w:rPr>
                      <w:u w:val="double"/>
                    </w:rPr>
                  </w:pPr>
                </w:p>
              </w:tc>
              <w:tc>
                <w:tcPr>
                  <w:tcW w:w="851" w:type="dxa"/>
                  <w:vAlign w:val="top"/>
                </w:tcPr>
                <w:p>
                  <w:pPr>
                    <w:jc w:val="center"/>
                    <w:rPr>
                      <w:rFonts w:hint="eastAsia" w:eastAsia="ＭＳ 明朝"/>
                      <w:u w:val="double"/>
                      <w:lang w:val="en-US" w:eastAsia="ja-JP"/>
                    </w:rPr>
                  </w:pPr>
                  <w:r>
                    <w:rPr>
                      <w:rFonts w:hint="eastAsia"/>
                      <w:u w:val="none" w:color="auto"/>
                      <w:lang w:val="en-US" w:eastAsia="ja-JP"/>
                    </w:rPr>
                    <w:t>4</w:t>
                  </w:r>
                </w:p>
              </w:tc>
              <w:tc>
                <w:tcPr>
                  <w:tcW w:w="1134" w:type="dxa"/>
                  <w:vAlign w:val="top"/>
                </w:tcPr>
                <w:p>
                  <w:pPr>
                    <w:rPr>
                      <w:rFonts w:hint="default"/>
                      <w:u w:val="none" w:color="auto"/>
                    </w:rPr>
                  </w:pPr>
                  <w:r>
                    <w:rPr>
                      <w:rFonts w:hint="default"/>
                      <w:u w:val="none" w:color="auto"/>
                    </w:rPr>
                    <w:t>7102･10</w:t>
                  </w:r>
                </w:p>
                <w:p>
                  <w:pPr>
                    <w:rPr>
                      <w:rFonts w:hint="eastAsia"/>
                      <w:u w:val="none" w:color="auto"/>
                      <w:lang w:val="en-US" w:eastAsia="ja-JP"/>
                    </w:rPr>
                  </w:pPr>
                  <w:r>
                    <w:rPr>
                      <w:rFonts w:hint="default"/>
                      <w:u w:val="none" w:color="auto"/>
                    </w:rPr>
                    <w:t>7102･</w:t>
                  </w:r>
                  <w:r>
                    <w:rPr>
                      <w:rFonts w:hint="eastAsia"/>
                      <w:u w:val="none" w:color="auto"/>
                      <w:lang w:val="en-US" w:eastAsia="ja-JP"/>
                    </w:rPr>
                    <w:t>31</w:t>
                  </w:r>
                </w:p>
                <w:p>
                  <w:pPr>
                    <w:rPr>
                      <w:rFonts w:hint="default"/>
                      <w:u w:val="double"/>
                      <w:lang w:val="en-US" w:eastAsia="ja-JP"/>
                    </w:rPr>
                  </w:pPr>
                  <w:r>
                    <w:rPr>
                      <w:rFonts w:hint="default"/>
                      <w:u w:val="none" w:color="auto"/>
                      <w:lang w:val="en-US" w:eastAsia="ja-JP"/>
                    </w:rPr>
                    <w:t>7102･3</w:t>
                  </w:r>
                  <w:r>
                    <w:rPr>
                      <w:rFonts w:hint="eastAsia"/>
                      <w:u w:val="none" w:color="auto"/>
                      <w:lang w:val="en-US" w:eastAsia="ja-JP"/>
                    </w:rPr>
                    <w:t>9</w:t>
                  </w:r>
                </w:p>
              </w:tc>
              <w:tc>
                <w:tcPr>
                  <w:tcW w:w="2693" w:type="dxa"/>
                  <w:vAlign w:val="top"/>
                </w:tcPr>
                <w:p>
                  <w:pPr>
                    <w:rPr>
                      <w:u w:val="double"/>
                    </w:rPr>
                  </w:pPr>
                  <w:r>
                    <w:rPr>
                      <w:rFonts w:hint="eastAsia"/>
                      <w:u w:val="single" w:color="auto"/>
                      <w:lang w:eastAsia="ja-JP"/>
                    </w:rPr>
                    <w:t>ダイヤモンド）三の７の⑽に掲げるものを除く。）</w:t>
                  </w:r>
                </w:p>
              </w:tc>
              <w:tc>
                <w:tcPr>
                  <w:tcW w:w="6859" w:type="dxa"/>
                  <w:vMerge w:val="continue"/>
                  <w:vAlign w:val="top"/>
                </w:tcPr>
                <w:p>
                  <w:pPr>
                    <w:rPr>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1559" w:type="dxa"/>
                  <w:vMerge w:val="continue"/>
                  <w:vAlign w:val="top"/>
                </w:tcPr>
                <w:p/>
              </w:tc>
              <w:tc>
                <w:tcPr>
                  <w:tcW w:w="851" w:type="dxa"/>
                  <w:vAlign w:val="top"/>
                </w:tcPr>
                <w:p>
                  <w:pPr>
                    <w:jc w:val="center"/>
                    <w:rPr>
                      <w:rFonts w:hint="eastAsia" w:eastAsia="ＭＳ 明朝"/>
                      <w:u w:val="double"/>
                      <w:lang w:eastAsia="ja-JP"/>
                    </w:rPr>
                  </w:pPr>
                  <w:r>
                    <w:rPr>
                      <w:rFonts w:hint="eastAsia"/>
                      <w:lang w:val="en-US" w:eastAsia="ja-JP"/>
                    </w:rPr>
                    <w:t>5</w:t>
                  </w:r>
                </w:p>
              </w:tc>
              <w:tc>
                <w:tcPr>
                  <w:tcW w:w="1134" w:type="dxa"/>
                  <w:vAlign w:val="top"/>
                </w:tcPr>
                <w:p>
                  <w:pPr>
                    <w:rPr>
                      <w:u w:val="double"/>
                    </w:rPr>
                  </w:pPr>
                  <w:r>
                    <w:t>[</w:t>
                  </w:r>
                  <w:r>
                    <w:rPr>
                      <w:rFonts w:hint="eastAsia"/>
                    </w:rPr>
                    <w:t>略</w:t>
                  </w:r>
                  <w:r>
                    <w:t>]</w:t>
                  </w:r>
                </w:p>
              </w:tc>
              <w:tc>
                <w:tcPr>
                  <w:tcW w:w="2693" w:type="dxa"/>
                  <w:vAlign w:val="top"/>
                </w:tcPr>
                <w:p>
                  <w:pPr>
                    <w:rPr>
                      <w:u w:val="double"/>
                    </w:rPr>
                  </w:pPr>
                  <w:r>
                    <w:t>[</w:t>
                  </w:r>
                  <w:r>
                    <w:rPr>
                      <w:rFonts w:hint="eastAsia"/>
                    </w:rPr>
                    <w:t>略</w:t>
                  </w:r>
                  <w:r>
                    <w:t>]</w:t>
                  </w:r>
                </w:p>
              </w:tc>
              <w:tc>
                <w:tcPr>
                  <w:tcW w:w="6859" w:type="dxa"/>
                  <w:vMerge w:val="continue"/>
                  <w:tcBorders>
                    <w:bottom w:val="nil"/>
                  </w:tcBorders>
                  <w:vAlign w:val="top"/>
                </w:tcPr>
                <w:p>
                  <w:pPr>
                    <w:rPr>
                      <w:u w:val="double"/>
                    </w:rPr>
                  </w:pPr>
                </w:p>
              </w:tc>
            </w:tr>
          </w:tbl>
          <w:p>
            <w:pPr>
              <w:ind w:left="210" w:hanging="210" w:hangingChars="100"/>
            </w:pPr>
          </w:p>
        </w:tc>
        <w:tc>
          <w:tcPr>
            <w:tcW w:w="6520" w:type="dxa"/>
            <w:tcBorders>
              <w:top w:val="nil"/>
              <w:bottom w:val="nil"/>
            </w:tcBorders>
            <w:vAlign w:val="top"/>
          </w:tcPr>
          <w:tbl>
            <w:tblPr>
              <w:tblStyle w:val="9"/>
              <w:tblW w:w="130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954"/>
              <w:gridCol w:w="1230"/>
              <w:gridCol w:w="2494"/>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restart"/>
                  <w:vAlign w:val="center"/>
                </w:tcPr>
                <w:p>
                  <w:pPr>
                    <w:jc w:val="center"/>
                  </w:pPr>
                  <w:r>
                    <w:rPr>
                      <w:rFonts w:hint="eastAsia"/>
                    </w:rPr>
                    <w:t>地域</w:t>
                  </w:r>
                </w:p>
              </w:tc>
              <w:tc>
                <w:tcPr>
                  <w:tcW w:w="4678" w:type="dxa"/>
                  <w:gridSpan w:val="3"/>
                  <w:vAlign w:val="top"/>
                </w:tcPr>
                <w:p>
                  <w:pPr>
                    <w:jc w:val="center"/>
                  </w:pPr>
                  <w:r>
                    <w:rPr>
                      <w:rFonts w:hint="eastAsia"/>
                    </w:rPr>
                    <w:t>貨物</w:t>
                  </w:r>
                </w:p>
              </w:tc>
              <w:tc>
                <w:tcPr>
                  <w:tcW w:w="6859" w:type="dxa"/>
                  <w:vMerge w:val="restart"/>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continue"/>
                  <w:vAlign w:val="top"/>
                </w:tcPr>
                <w:p/>
              </w:tc>
              <w:tc>
                <w:tcPr>
                  <w:tcW w:w="954" w:type="dxa"/>
                  <w:vAlign w:val="top"/>
                </w:tcPr>
                <w:p>
                  <w:pPr>
                    <w:jc w:val="center"/>
                  </w:pPr>
                  <w:r>
                    <w:rPr>
                      <w:rFonts w:hint="eastAsia"/>
                    </w:rPr>
                    <w:t>項目</w:t>
                  </w:r>
                </w:p>
                <w:p>
                  <w:pPr>
                    <w:jc w:val="center"/>
                  </w:pPr>
                  <w:r>
                    <w:rPr>
                      <w:rFonts w:hint="eastAsia"/>
                    </w:rPr>
                    <w:t>番号</w:t>
                  </w:r>
                </w:p>
              </w:tc>
              <w:tc>
                <w:tcPr>
                  <w:tcW w:w="1230" w:type="dxa"/>
                  <w:vAlign w:val="top"/>
                </w:tcPr>
                <w:p>
                  <w:pPr>
                    <w:jc w:val="center"/>
                  </w:pPr>
                  <w:r>
                    <w:rPr>
                      <w:rFonts w:hint="eastAsia"/>
                    </w:rPr>
                    <w:t>関税率表</w:t>
                  </w:r>
                </w:p>
                <w:p>
                  <w:pPr>
                    <w:jc w:val="center"/>
                  </w:pPr>
                  <w:r>
                    <w:rPr>
                      <w:rFonts w:hint="eastAsia"/>
                    </w:rPr>
                    <w:t>の番号等</w:t>
                  </w:r>
                </w:p>
              </w:tc>
              <w:tc>
                <w:tcPr>
                  <w:tcW w:w="2494" w:type="dxa"/>
                  <w:vAlign w:val="center"/>
                </w:tcPr>
                <w:p>
                  <w:pPr>
                    <w:jc w:val="center"/>
                  </w:pPr>
                  <w:r>
                    <w:rPr>
                      <w:rFonts w:hint="eastAsia"/>
                    </w:rPr>
                    <w:t>貨物名</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Align w:val="top"/>
                </w:tcPr>
                <w:p>
                  <w:r>
                    <w:t>[</w:t>
                  </w:r>
                  <w:r>
                    <w:rPr>
                      <w:rFonts w:hint="eastAsia"/>
                    </w:rPr>
                    <w:t>略</w:t>
                  </w:r>
                  <w:r>
                    <w:t>]</w:t>
                  </w:r>
                </w:p>
              </w:tc>
              <w:tc>
                <w:tcPr>
                  <w:tcW w:w="954" w:type="dxa"/>
                  <w:vAlign w:val="top"/>
                </w:tcPr>
                <w:p>
                  <w:r>
                    <w:t>[</w:t>
                  </w:r>
                  <w:r>
                    <w:rPr>
                      <w:rFonts w:hint="eastAsia"/>
                    </w:rPr>
                    <w:t>略</w:t>
                  </w:r>
                  <w:r>
                    <w:t>]</w:t>
                  </w:r>
                </w:p>
              </w:tc>
              <w:tc>
                <w:tcPr>
                  <w:tcW w:w="1230" w:type="dxa"/>
                  <w:vAlign w:val="top"/>
                </w:tcPr>
                <w:p>
                  <w:r>
                    <w:t>[</w:t>
                  </w:r>
                  <w:r>
                    <w:rPr>
                      <w:rFonts w:hint="eastAsia"/>
                    </w:rPr>
                    <w:t>略</w:t>
                  </w:r>
                  <w:r>
                    <w:t>]</w:t>
                  </w:r>
                </w:p>
              </w:tc>
              <w:tc>
                <w:tcPr>
                  <w:tcW w:w="2494" w:type="dxa"/>
                  <w:vAlign w:val="top"/>
                </w:tcPr>
                <w:p>
                  <w:r>
                    <w:t>[</w:t>
                  </w:r>
                  <w:r>
                    <w:rPr>
                      <w:rFonts w:hint="eastAsia"/>
                    </w:rPr>
                    <w:t>略</w:t>
                  </w:r>
                  <w:r>
                    <w:t>]</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restart"/>
                  <w:vAlign w:val="top"/>
                </w:tcPr>
                <w:p>
                  <w:r>
                    <w:rPr>
                      <w:rFonts w:hint="eastAsia"/>
                    </w:rPr>
                    <w:t>ロシア（原油及び石油製品についてはロシアを原産地とする場合に</w:t>
                  </w:r>
                  <w:r>
                    <w:rPr>
                      <w:rFonts w:hint="eastAsia"/>
                      <w:u w:val="single" w:color="auto"/>
                    </w:rPr>
                    <w:t>限り</w:t>
                  </w:r>
                  <w:r>
                    <w:rPr>
                      <w:rFonts w:hint="eastAsia"/>
                      <w:u w:val="single" w:color="auto"/>
                      <w:lang w:eastAsia="ja-JP"/>
                    </w:rPr>
                    <w:t>、</w:t>
                  </w:r>
                  <w:r>
                    <w:rPr>
                      <w:rFonts w:hint="eastAsia"/>
                      <w:u w:val="single" w:color="auto"/>
                    </w:rPr>
                    <w:t>ダ</w:t>
                  </w:r>
                  <w:r>
                    <w:rPr>
                      <w:rFonts w:hint="eastAsia"/>
                      <w:u w:val="single" w:color="auto"/>
                      <w:lang w:eastAsia="ja-JP"/>
                    </w:rPr>
                    <w:t>イ</w:t>
                  </w:r>
                  <w:r>
                    <w:rPr>
                      <w:rFonts w:hint="eastAsia"/>
                      <w:u w:val="single" w:color="auto"/>
                    </w:rPr>
                    <w:t>ヤモンド</w:t>
                  </w:r>
                  <w:r>
                    <w:rPr>
                      <w:rFonts w:hint="eastAsia"/>
                      <w:u w:val="single" w:color="auto"/>
                      <w:lang w:eastAsia="ja-JP"/>
                    </w:rPr>
                    <w:t>に</w:t>
                  </w:r>
                  <w:r>
                    <w:rPr>
                      <w:rFonts w:hint="eastAsia"/>
                      <w:u w:val="single" w:color="auto"/>
                    </w:rPr>
                    <w:t>ついては</w:t>
                  </w:r>
                  <w:r>
                    <w:rPr>
                      <w:rFonts w:hint="eastAsia"/>
                      <w:u w:val="single" w:color="auto"/>
                      <w:lang w:eastAsia="ja-JP"/>
                    </w:rPr>
                    <w:t>ロ</w:t>
                  </w:r>
                  <w:r>
                    <w:rPr>
                      <w:rFonts w:hint="eastAsia"/>
                      <w:u w:val="single" w:color="auto"/>
                    </w:rPr>
                    <w:t>シアを船積地域とす場合に限る</w:t>
                  </w:r>
                  <w:r>
                    <w:rPr>
                      <w:rFonts w:hint="eastAsia"/>
                    </w:rPr>
                    <w:t>。）</w:t>
                  </w:r>
                </w:p>
              </w:tc>
              <w:tc>
                <w:tcPr>
                  <w:tcW w:w="954" w:type="dxa"/>
                  <w:vAlign w:val="top"/>
                </w:tcPr>
                <w:p>
                  <w:pPr>
                    <w:jc w:val="center"/>
                    <w:rPr>
                      <w:u w:val="double"/>
                    </w:rPr>
                  </w:pPr>
                  <w:r>
                    <w:rPr>
                      <w:u w:val="double"/>
                    </w:rPr>
                    <w:t>1</w:t>
                  </w:r>
                </w:p>
              </w:tc>
              <w:tc>
                <w:tcPr>
                  <w:tcW w:w="1230" w:type="dxa"/>
                  <w:vAlign w:val="top"/>
                </w:tcPr>
                <w:p>
                  <w:pPr>
                    <w:rPr>
                      <w:u w:val="double"/>
                    </w:rPr>
                  </w:pPr>
                  <w:r>
                    <w:t>[</w:t>
                  </w:r>
                  <w:r>
                    <w:rPr>
                      <w:rFonts w:hint="eastAsia"/>
                    </w:rPr>
                    <w:t>略</w:t>
                  </w:r>
                  <w:r>
                    <w:t>]</w:t>
                  </w:r>
                </w:p>
              </w:tc>
              <w:tc>
                <w:tcPr>
                  <w:tcW w:w="2494" w:type="dxa"/>
                  <w:vAlign w:val="top"/>
                </w:tcPr>
                <w:p>
                  <w:pPr>
                    <w:rPr>
                      <w:u w:val="double"/>
                    </w:rPr>
                  </w:pPr>
                  <w:r>
                    <w:t>[</w:t>
                  </w:r>
                  <w:r>
                    <w:rPr>
                      <w:rFonts w:hint="eastAsia"/>
                    </w:rPr>
                    <w:t>略</w:t>
                  </w:r>
                  <w:r>
                    <w:t>]</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continue"/>
                  <w:vAlign w:val="top"/>
                </w:tcPr>
                <w:p>
                  <w:pPr>
                    <w:rPr>
                      <w:rFonts w:hint="eastAsia"/>
                    </w:rPr>
                  </w:pPr>
                </w:p>
              </w:tc>
              <w:tc>
                <w:tcPr>
                  <w:tcW w:w="954" w:type="dxa"/>
                  <w:vAlign w:val="top"/>
                </w:tcPr>
                <w:p>
                  <w:pPr>
                    <w:jc w:val="center"/>
                    <w:rPr>
                      <w:u w:val="double"/>
                    </w:rPr>
                  </w:pPr>
                  <w:r>
                    <w:rPr>
                      <w:rFonts w:hint="eastAsia" w:ascii="ＭＳ 明朝" w:hAnsi="ＭＳ 明朝" w:eastAsia="ＭＳ 明朝" w:cs="ＭＳ 明朝"/>
                      <w:u w:val="double"/>
                    </w:rPr>
                    <w:t>2</w:t>
                  </w:r>
                </w:p>
              </w:tc>
              <w:tc>
                <w:tcPr>
                  <w:tcW w:w="1230" w:type="dxa"/>
                  <w:vAlign w:val="top"/>
                </w:tcPr>
                <w:p>
                  <w:pPr>
                    <w:rPr>
                      <w:u w:val="double"/>
                    </w:rPr>
                  </w:pPr>
                  <w:r>
                    <w:t>[</w:t>
                  </w:r>
                  <w:r>
                    <w:rPr>
                      <w:rFonts w:hint="eastAsia"/>
                    </w:rPr>
                    <w:t>略</w:t>
                  </w:r>
                  <w:r>
                    <w:t>]</w:t>
                  </w:r>
                </w:p>
              </w:tc>
              <w:tc>
                <w:tcPr>
                  <w:tcW w:w="2494" w:type="dxa"/>
                  <w:vAlign w:val="top"/>
                </w:tcPr>
                <w:p>
                  <w:pPr>
                    <w:rPr>
                      <w:rFonts w:hint="eastAsia"/>
                      <w:u w:val="double"/>
                    </w:rPr>
                  </w:pPr>
                  <w:r>
                    <w:t>[</w:t>
                  </w:r>
                  <w:r>
                    <w:rPr>
                      <w:rFonts w:hint="eastAsia"/>
                    </w:rPr>
                    <w:t>略</w:t>
                  </w:r>
                  <w:r>
                    <w:t>]</w:t>
                  </w:r>
                </w:p>
              </w:tc>
              <w:tc>
                <w:tcPr>
                  <w:tcW w:w="6859" w:type="dxa"/>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59" w:type="dxa"/>
                  <w:vMerge w:val="continue"/>
                  <w:vAlign w:val="top"/>
                </w:tcPr>
                <w:p>
                  <w:pPr>
                    <w:rPr>
                      <w:rFonts w:hint="eastAsia"/>
                    </w:rPr>
                  </w:pPr>
                </w:p>
              </w:tc>
              <w:tc>
                <w:tcPr>
                  <w:tcW w:w="954" w:type="dxa"/>
                  <w:vAlign w:val="top"/>
                </w:tcPr>
                <w:p>
                  <w:pPr>
                    <w:jc w:val="center"/>
                    <w:rPr>
                      <w:u w:val="double"/>
                    </w:rPr>
                  </w:pPr>
                  <w:r>
                    <w:rPr>
                      <w:u w:val="double"/>
                    </w:rPr>
                    <w:t>3</w:t>
                  </w:r>
                </w:p>
              </w:tc>
              <w:tc>
                <w:tcPr>
                  <w:tcW w:w="1230" w:type="dxa"/>
                  <w:vAlign w:val="top"/>
                </w:tcPr>
                <w:p>
                  <w:pPr>
                    <w:rPr>
                      <w:u w:val="double"/>
                    </w:rPr>
                  </w:pPr>
                  <w:r>
                    <w:t>[</w:t>
                  </w:r>
                  <w:r>
                    <w:rPr>
                      <w:rFonts w:hint="eastAsia"/>
                    </w:rPr>
                    <w:t>略</w:t>
                  </w:r>
                  <w:r>
                    <w:t>]</w:t>
                  </w:r>
                </w:p>
              </w:tc>
              <w:tc>
                <w:tcPr>
                  <w:tcW w:w="2494" w:type="dxa"/>
                  <w:vAlign w:val="top"/>
                </w:tcPr>
                <w:p>
                  <w:pPr>
                    <w:rPr>
                      <w:rFonts w:hint="eastAsia"/>
                      <w:u w:val="double"/>
                    </w:rPr>
                  </w:pPr>
                  <w:r>
                    <w:t>[</w:t>
                  </w:r>
                  <w:r>
                    <w:rPr>
                      <w:rFonts w:hint="eastAsia"/>
                    </w:rPr>
                    <w:t>略</w:t>
                  </w:r>
                  <w:r>
                    <w:t>]</w:t>
                  </w:r>
                </w:p>
              </w:tc>
              <w:tc>
                <w:tcPr>
                  <w:tcW w:w="6859" w:type="dxa"/>
                  <w:vMerge w:val="restart"/>
                  <w:tcBorders>
                    <w:top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59" w:type="dxa"/>
                  <w:vMerge w:val="continue"/>
                  <w:vAlign w:val="top"/>
                </w:tcPr>
                <w:p>
                  <w:pPr>
                    <w:rPr>
                      <w:u w:val="double"/>
                    </w:rPr>
                  </w:pPr>
                </w:p>
              </w:tc>
              <w:tc>
                <w:tcPr>
                  <w:tcW w:w="954" w:type="dxa"/>
                  <w:vAlign w:val="top"/>
                </w:tcPr>
                <w:p>
                  <w:pPr>
                    <w:jc w:val="center"/>
                    <w:rPr>
                      <w:rFonts w:hint="eastAsia"/>
                      <w:lang w:val="en-US" w:eastAsia="ja-JP"/>
                    </w:rPr>
                  </w:pPr>
                  <w:r>
                    <w:rPr>
                      <w:rFonts w:hint="eastAsia"/>
                      <w:lang w:val="en-US" w:eastAsia="ja-JP"/>
                    </w:rPr>
                    <w:t>4</w:t>
                  </w:r>
                </w:p>
              </w:tc>
              <w:tc>
                <w:tcPr>
                  <w:tcW w:w="1230" w:type="dxa"/>
                  <w:vAlign w:val="top"/>
                </w:tcPr>
                <w:p>
                  <w:pPr>
                    <w:rPr>
                      <w:rFonts w:hint="default"/>
                    </w:rPr>
                  </w:pPr>
                  <w:r>
                    <w:rPr>
                      <w:rFonts w:hint="default"/>
                    </w:rPr>
                    <w:t>7102･10</w:t>
                  </w:r>
                </w:p>
                <w:p>
                  <w:pPr>
                    <w:rPr>
                      <w:rFonts w:hint="eastAsia"/>
                      <w:lang w:val="en-US" w:eastAsia="ja-JP"/>
                    </w:rPr>
                  </w:pPr>
                  <w:r>
                    <w:rPr>
                      <w:rFonts w:hint="default"/>
                    </w:rPr>
                    <w:t>7102･</w:t>
                  </w:r>
                  <w:r>
                    <w:rPr>
                      <w:rFonts w:hint="eastAsia"/>
                      <w:lang w:val="en-US" w:eastAsia="ja-JP"/>
                    </w:rPr>
                    <w:t>31</w:t>
                  </w:r>
                </w:p>
                <w:p>
                  <w:pPr>
                    <w:rPr>
                      <w:rFonts w:hint="default"/>
                      <w:lang w:val="en-US" w:eastAsia="ja-JP"/>
                    </w:rPr>
                  </w:pPr>
                  <w:r>
                    <w:rPr>
                      <w:rFonts w:hint="default"/>
                      <w:lang w:val="en-US" w:eastAsia="ja-JP"/>
                    </w:rPr>
                    <w:t>7102･3</w:t>
                  </w:r>
                  <w:r>
                    <w:rPr>
                      <w:rFonts w:hint="eastAsia"/>
                      <w:lang w:val="en-US" w:eastAsia="ja-JP"/>
                    </w:rPr>
                    <w:t>9</w:t>
                  </w:r>
                </w:p>
              </w:tc>
              <w:tc>
                <w:tcPr>
                  <w:tcW w:w="2494" w:type="dxa"/>
                  <w:vAlign w:val="top"/>
                </w:tcPr>
                <w:p>
                  <w:r>
                    <w:rPr>
                      <w:rFonts w:hint="eastAsia"/>
                      <w:u w:val="single" w:color="auto"/>
                      <w:lang w:eastAsia="ja-JP"/>
                    </w:rPr>
                    <w:t>ダ</w:t>
                  </w:r>
                  <w:r>
                    <w:rPr>
                      <w:rFonts w:hint="eastAsia"/>
                      <w:u w:val="single" w:color="auto"/>
                    </w:rPr>
                    <w:t>イヤモンド</w:t>
                  </w:r>
                </w:p>
              </w:tc>
              <w:tc>
                <w:tcPr>
                  <w:tcW w:w="6859" w:type="dxa"/>
                  <w:vMerge w:val="continue"/>
                  <w:vAlign w:val="top"/>
                </w:tcPr>
                <w:p>
                  <w:pPr>
                    <w:rPr>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59" w:type="dxa"/>
                  <w:vMerge w:val="continue"/>
                  <w:vAlign w:val="top"/>
                </w:tcPr>
                <w:p/>
              </w:tc>
              <w:tc>
                <w:tcPr>
                  <w:tcW w:w="954" w:type="dxa"/>
                  <w:vAlign w:val="top"/>
                </w:tcPr>
                <w:p>
                  <w:pPr>
                    <w:jc w:val="center"/>
                    <w:rPr>
                      <w:rFonts w:hint="eastAsia"/>
                      <w:u w:val="single" w:color="auto"/>
                      <w:lang w:val="en-US" w:eastAsia="ja-JP"/>
                    </w:rPr>
                  </w:pPr>
                  <w:r>
                    <w:rPr>
                      <w:rFonts w:hint="eastAsia"/>
                      <w:u w:val="none" w:color="auto"/>
                      <w:lang w:val="en-US" w:eastAsia="ja-JP"/>
                    </w:rPr>
                    <w:t>5</w:t>
                  </w:r>
                </w:p>
              </w:tc>
              <w:tc>
                <w:tcPr>
                  <w:tcW w:w="1230" w:type="dxa"/>
                  <w:vAlign w:val="top"/>
                </w:tcPr>
                <w:p>
                  <w:pPr>
                    <w:rPr>
                      <w:u w:val="double"/>
                    </w:rPr>
                  </w:pPr>
                  <w:r>
                    <w:t>[</w:t>
                  </w:r>
                  <w:r>
                    <w:rPr>
                      <w:rFonts w:hint="eastAsia"/>
                    </w:rPr>
                    <w:t>略</w:t>
                  </w:r>
                  <w:r>
                    <w:t>]</w:t>
                  </w:r>
                </w:p>
              </w:tc>
              <w:tc>
                <w:tcPr>
                  <w:tcW w:w="2494" w:type="dxa"/>
                  <w:vAlign w:val="top"/>
                </w:tcPr>
                <w:p>
                  <w:pPr>
                    <w:rPr>
                      <w:u w:val="double"/>
                    </w:rPr>
                  </w:pPr>
                  <w:r>
                    <w:t>[</w:t>
                  </w:r>
                  <w:r>
                    <w:rPr>
                      <w:rFonts w:hint="eastAsia"/>
                    </w:rPr>
                    <w:t>略</w:t>
                  </w:r>
                  <w:r>
                    <w:t>]</w:t>
                  </w:r>
                </w:p>
              </w:tc>
              <w:tc>
                <w:tcPr>
                  <w:tcW w:w="6859" w:type="dxa"/>
                  <w:vMerge w:val="continue"/>
                  <w:tcBorders>
                    <w:bottom w:val="nil"/>
                  </w:tcBorders>
                  <w:vAlign w:val="top"/>
                </w:tcPr>
                <w:p>
                  <w:pPr>
                    <w:rPr>
                      <w:u w:val="double"/>
                    </w:rPr>
                  </w:pPr>
                </w:p>
              </w:tc>
            </w:tr>
          </w:tbl>
          <w:p>
            <w:pPr>
              <w:ind w:left="210" w:leftChars="0" w:hanging="210" w:hanging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16" w:type="dxa"/>
            <w:gridSpan w:val="3"/>
            <w:tcBorders>
              <w:top w:val="nil"/>
              <w:bottom w:val="nil"/>
            </w:tcBorders>
            <w:tcMar>
              <w:right w:w="0" w:type="dxa"/>
            </w:tcMar>
            <w:vAlign w:val="top"/>
          </w:tcPr>
          <w:p>
            <w:r>
              <w:rPr>
                <w:rFonts w:hint="eastAsia"/>
              </w:rPr>
              <w:t>第２</w:t>
            </w:r>
            <w:r>
              <w:rPr>
                <w:rFonts w:hint="eastAsia"/>
                <w:lang w:eastAsia="ja-JP"/>
              </w:rPr>
              <w:t>　</w:t>
            </w:r>
            <w:r>
              <w:rPr>
                <w:rFonts w:hint="eastAsia"/>
              </w:rPr>
              <w:t>[略</w:t>
            </w:r>
            <w:r>
              <w:t>]</w:t>
            </w:r>
          </w:p>
        </w:tc>
        <w:tc>
          <w:tcPr>
            <w:tcW w:w="6520" w:type="dxa"/>
            <w:tcBorders>
              <w:top w:val="nil"/>
              <w:bottom w:val="nil"/>
            </w:tcBorders>
            <w:tcMar>
              <w:right w:w="0" w:type="dxa"/>
            </w:tcMar>
            <w:vAlign w:val="top"/>
          </w:tcPr>
          <w:p>
            <w:r>
              <w:rPr>
                <w:rFonts w:hint="eastAsia"/>
              </w:rPr>
              <w:t>第２</w:t>
            </w:r>
            <w:r>
              <w:rPr>
                <w:rFonts w:hint="eastAsia"/>
                <w:lang w:eastAsia="ja-JP"/>
              </w:rPr>
              <w:t>　</w:t>
            </w:r>
            <w:r>
              <w:rPr>
                <w:rFonts w:hint="eastAsia"/>
              </w:rPr>
              <w:t>[略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16" w:type="dxa"/>
            <w:gridSpan w:val="3"/>
            <w:tcBorders>
              <w:top w:val="nil"/>
              <w:bottom w:val="nil"/>
            </w:tcBorders>
            <w:tcMar>
              <w:right w:w="0" w:type="dxa"/>
            </w:tcMar>
            <w:textDirection w:val="lrTbV"/>
            <w:vAlign w:val="top"/>
          </w:tcPr>
          <w:p>
            <w:pPr>
              <w:rPr>
                <w:rFonts w:hint="eastAsia"/>
              </w:rPr>
            </w:pPr>
            <w:r>
              <w:rPr>
                <w:rFonts w:hint="eastAsia"/>
              </w:rPr>
              <w:t>二の二</w:t>
            </w:r>
            <w:r>
              <w:rPr>
                <w:rFonts w:hint="eastAsia"/>
                <w:lang w:eastAsia="ja-JP"/>
              </w:rPr>
              <w:t>　</w:t>
            </w:r>
            <w:r>
              <w:rPr>
                <w:rFonts w:hint="eastAsia"/>
              </w:rPr>
              <w:t>［略］</w:t>
            </w:r>
          </w:p>
        </w:tc>
        <w:tc>
          <w:tcPr>
            <w:tcW w:w="6520" w:type="dxa"/>
            <w:tcBorders>
              <w:top w:val="nil"/>
              <w:bottom w:val="nil"/>
            </w:tcBorders>
            <w:tcMar>
              <w:right w:w="0" w:type="dxa"/>
            </w:tcMar>
            <w:textDirection w:val="lrTbV"/>
            <w:vAlign w:val="top"/>
          </w:tcPr>
          <w:p>
            <w:pPr>
              <w:rPr>
                <w:rFonts w:hint="eastAsia"/>
              </w:rPr>
            </w:pPr>
            <w:r>
              <w:rPr>
                <w:rFonts w:hint="eastAsia"/>
              </w:rPr>
              <w:t>二の二</w:t>
            </w:r>
            <w:r>
              <w:rPr>
                <w:rFonts w:hint="eastAsia"/>
                <w:lang w:eastAsia="ja-JP"/>
              </w:rPr>
              <w:t>　</w:t>
            </w:r>
            <w:r>
              <w:rPr>
                <w:rFonts w:hint="eastAsia"/>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16" w:type="dxa"/>
            <w:gridSpan w:val="3"/>
            <w:tcBorders>
              <w:top w:val="nil"/>
              <w:bottom w:val="nil"/>
            </w:tcBorders>
            <w:tcMar>
              <w:right w:w="0" w:type="dxa"/>
            </w:tcMar>
            <w:textDirection w:val="lrTbV"/>
            <w:vAlign w:val="top"/>
          </w:tcPr>
          <w:p>
            <w:pPr>
              <w:widowControl w:val="0"/>
              <w:wordWrap/>
              <w:adjustRightInd/>
              <w:snapToGrid/>
              <w:spacing w:line="240" w:lineRule="auto"/>
              <w:ind w:left="210" w:leftChars="0" w:right="0" w:hanging="210" w:hangingChars="100"/>
              <w:jc w:val="both"/>
              <w:textAlignment w:val="auto"/>
              <w:outlineLvl w:val="9"/>
              <w:rPr>
                <w:rFonts w:hint="eastAsia"/>
              </w:rPr>
            </w:pPr>
            <w:r>
              <w:rPr>
                <w:rFonts w:hint="eastAsia"/>
              </w:rPr>
              <w:t>三</w:t>
            </w:r>
            <w:r>
              <w:rPr>
                <w:rFonts w:hint="eastAsia"/>
                <w:lang w:eastAsia="ja-JP"/>
              </w:rPr>
              <w:t>　</w:t>
            </w:r>
            <w:r>
              <w:rPr>
                <w:rFonts w:hint="eastAsia"/>
              </w:rPr>
              <w:t>その他貨物の輸入に関する事項は、次のとおりとし、令第四条第一項第三号の規定による輸入の承認を受けるべき場合は、６から８までの貨物を輸入するときとし、同号の規定による輸入の承認を要しないものとする同条第二項の規定により行うべき手続は、６の貨物を輸入する場合においての６の</w:t>
            </w:r>
            <w:r>
              <w:rPr>
                <w:rFonts w:hint="eastAsia"/>
                <w:lang w:eastAsia="ja-JP"/>
              </w:rPr>
              <w:t>⑴</w:t>
            </w:r>
            <w:r>
              <w:rPr>
                <w:rFonts w:hint="eastAsia"/>
              </w:rPr>
              <w:t>から</w:t>
            </w:r>
            <w:r>
              <w:rPr>
                <w:rFonts w:hint="eastAsia"/>
                <w:lang w:eastAsia="ja-JP"/>
              </w:rPr>
              <w:t>⑸</w:t>
            </w:r>
            <w:r>
              <w:rPr>
                <w:rFonts w:hint="eastAsia"/>
              </w:rPr>
              <w:t>までの区分に応じそれぞれに定める大臣の確認、７の貨物を輸入する場合においての経済産業大臣の確認又は８の貨物を輸入する場合においての８の</w:t>
            </w:r>
            <w:r>
              <w:rPr>
                <w:rFonts w:hint="eastAsia"/>
                <w:lang w:eastAsia="ja-JP"/>
              </w:rPr>
              <w:t>⑴</w:t>
            </w:r>
            <w:r>
              <w:rPr>
                <w:rFonts w:hint="eastAsia"/>
              </w:rPr>
              <w:t>から</w:t>
            </w:r>
            <w:r>
              <w:rPr>
                <w:rFonts w:hint="eastAsia"/>
                <w:lang w:eastAsia="ja-JP"/>
              </w:rPr>
              <w:t>⑽</w:t>
            </w:r>
            <w:r>
              <w:rPr>
                <w:rFonts w:hint="eastAsia"/>
              </w:rPr>
              <w:t>までの区分に応じそれぞれに定める書類の税関への提出とする。</w:t>
            </w:r>
          </w:p>
          <w:p>
            <w:pPr>
              <w:ind w:leftChars="100"/>
              <w:rPr>
                <w:rFonts w:hint="eastAsia"/>
              </w:rPr>
            </w:pPr>
            <w:r>
              <w:rPr>
                <w:rFonts w:hint="eastAsia"/>
              </w:rPr>
              <w:t>１～６</w:t>
            </w:r>
            <w:r>
              <w:rPr>
                <w:rFonts w:hint="eastAsia"/>
                <w:lang w:eastAsia="ja-JP"/>
              </w:rPr>
              <w:t>　</w:t>
            </w:r>
            <w:r>
              <w:rPr>
                <w:rFonts w:hint="eastAsia"/>
              </w:rPr>
              <w:t>［略］</w:t>
            </w:r>
          </w:p>
          <w:p>
            <w:pPr>
              <w:ind w:leftChars="100"/>
              <w:rPr>
                <w:rFonts w:hint="eastAsia"/>
              </w:rPr>
            </w:pPr>
            <w:r>
              <w:rPr>
                <w:rFonts w:hint="eastAsia"/>
              </w:rPr>
              <w:t>７</w:t>
            </w:r>
            <w:r>
              <w:rPr>
                <w:rFonts w:hint="eastAsia"/>
                <w:lang w:eastAsia="ja-JP"/>
              </w:rPr>
              <w:t>⑴</w:t>
            </w:r>
            <w:r>
              <w:rPr>
                <w:rFonts w:hint="eastAsia"/>
              </w:rPr>
              <w:t>～</w:t>
            </w:r>
            <w:r>
              <w:rPr>
                <w:rFonts w:hint="eastAsia"/>
                <w:lang w:eastAsia="ja-JP"/>
              </w:rPr>
              <w:t>⑼　</w:t>
            </w:r>
            <w:r>
              <w:rPr>
                <w:rFonts w:hint="eastAsia"/>
              </w:rPr>
              <w:t>［略］</w:t>
            </w:r>
          </w:p>
        </w:tc>
        <w:tc>
          <w:tcPr>
            <w:tcW w:w="6520" w:type="dxa"/>
            <w:tcBorders>
              <w:top w:val="nil"/>
              <w:bottom w:val="nil"/>
            </w:tcBorders>
            <w:tcMar>
              <w:right w:w="0" w:type="dxa"/>
            </w:tcMar>
            <w:textDirection w:val="lrTbV"/>
            <w:vAlign w:val="top"/>
          </w:tcPr>
          <w:p>
            <w:pPr>
              <w:widowControl w:val="0"/>
              <w:wordWrap/>
              <w:adjustRightInd/>
              <w:snapToGrid/>
              <w:spacing w:line="240" w:lineRule="auto"/>
              <w:ind w:left="210" w:leftChars="0" w:right="0" w:hanging="210" w:hangingChars="100"/>
              <w:jc w:val="both"/>
              <w:textAlignment w:val="auto"/>
              <w:outlineLvl w:val="9"/>
              <w:rPr>
                <w:rFonts w:hint="eastAsia"/>
              </w:rPr>
            </w:pPr>
            <w:r>
              <w:rPr>
                <w:rFonts w:hint="eastAsia"/>
              </w:rPr>
              <w:t>三</w:t>
            </w:r>
            <w:r>
              <w:rPr>
                <w:rFonts w:hint="eastAsia"/>
                <w:lang w:eastAsia="ja-JP"/>
              </w:rPr>
              <w:t>　</w:t>
            </w:r>
            <w:r>
              <w:rPr>
                <w:rFonts w:hint="eastAsia"/>
              </w:rPr>
              <w:t>その他貨物の輸入に関する事項は、次のとおりとし、令第四条第一項第三号の規定による輸入の承認を受けるべき場合は、６から８までの貨物を輸入するときとし、同号の規定による輸入の承認を要しないものとする同条第二項の規定により行うべき手続は、６の貨物を輸入する場合においての６の</w:t>
            </w:r>
            <w:r>
              <w:rPr>
                <w:rFonts w:hint="eastAsia"/>
                <w:lang w:eastAsia="ja-JP"/>
              </w:rPr>
              <w:t>⑴</w:t>
            </w:r>
            <w:r>
              <w:rPr>
                <w:rFonts w:hint="eastAsia"/>
              </w:rPr>
              <w:t>から</w:t>
            </w:r>
            <w:r>
              <w:rPr>
                <w:rFonts w:hint="eastAsia"/>
                <w:lang w:eastAsia="ja-JP"/>
              </w:rPr>
              <w:t>⑸</w:t>
            </w:r>
            <w:r>
              <w:rPr>
                <w:rFonts w:hint="eastAsia"/>
              </w:rPr>
              <w:t>までの区分に応じそれぞれに定める大臣の確認、７の貨物を輸入する場合においての経済産業大臣の確認又は８の貨物を輸入する場合においての８の</w:t>
            </w:r>
            <w:r>
              <w:rPr>
                <w:rFonts w:hint="eastAsia"/>
                <w:lang w:eastAsia="ja-JP"/>
              </w:rPr>
              <w:t>⑴</w:t>
            </w:r>
            <w:r>
              <w:rPr>
                <w:rFonts w:hint="eastAsia"/>
              </w:rPr>
              <w:t>から</w:t>
            </w:r>
            <w:r>
              <w:rPr>
                <w:rFonts w:hint="eastAsia"/>
                <w:lang w:eastAsia="ja-JP"/>
              </w:rPr>
              <w:t>⑽</w:t>
            </w:r>
            <w:r>
              <w:rPr>
                <w:rFonts w:hint="eastAsia"/>
              </w:rPr>
              <w:t>までの区分に応じそれぞれに定める書類の税関への提出とする。</w:t>
            </w:r>
          </w:p>
          <w:p>
            <w:pPr>
              <w:ind w:leftChars="100"/>
              <w:rPr>
                <w:rFonts w:hint="eastAsia"/>
              </w:rPr>
            </w:pPr>
            <w:r>
              <w:rPr>
                <w:rFonts w:hint="eastAsia"/>
              </w:rPr>
              <w:t>１～６</w:t>
            </w:r>
            <w:r>
              <w:rPr>
                <w:rFonts w:hint="eastAsia"/>
                <w:lang w:eastAsia="ja-JP"/>
              </w:rPr>
              <w:t>　</w:t>
            </w:r>
            <w:r>
              <w:rPr>
                <w:rFonts w:hint="eastAsia"/>
              </w:rPr>
              <w:t>［略］</w:t>
            </w:r>
          </w:p>
          <w:p>
            <w:pPr>
              <w:ind w:left="0" w:leftChars="100"/>
              <w:rPr>
                <w:rFonts w:hint="eastAsia"/>
              </w:rPr>
            </w:pPr>
            <w:r>
              <w:rPr>
                <w:rFonts w:hint="eastAsia"/>
              </w:rPr>
              <w:t>７</w:t>
            </w:r>
            <w:r>
              <w:rPr>
                <w:rFonts w:hint="eastAsia"/>
                <w:lang w:eastAsia="ja-JP"/>
              </w:rPr>
              <w:t>⑴</w:t>
            </w:r>
            <w:r>
              <w:rPr>
                <w:rFonts w:hint="eastAsia"/>
              </w:rPr>
              <w:t>～</w:t>
            </w:r>
            <w:r>
              <w:rPr>
                <w:rFonts w:hint="eastAsia"/>
                <w:lang w:eastAsia="ja-JP"/>
              </w:rPr>
              <w:t>⑼　</w:t>
            </w:r>
            <w:r>
              <w:rPr>
                <w:rFonts w:hint="eastAsia"/>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16" w:type="dxa"/>
            <w:gridSpan w:val="3"/>
            <w:tcBorders>
              <w:top w:val="nil"/>
              <w:bottom w:val="nil"/>
            </w:tcBorders>
            <w:tcMar>
              <w:right w:w="0" w:type="dxa"/>
            </w:tcMar>
            <w:textDirection w:val="lrTbV"/>
            <w:vAlign w:val="top"/>
          </w:tcPr>
          <w:p>
            <w:pPr>
              <w:widowControl w:val="0"/>
              <w:wordWrap/>
              <w:adjustRightInd/>
              <w:snapToGrid/>
              <w:spacing w:line="240" w:lineRule="auto"/>
              <w:ind w:left="420" w:leftChars="100" w:right="0" w:hanging="210" w:hangingChars="100"/>
              <w:jc w:val="both"/>
              <w:textAlignment w:val="auto"/>
              <w:outlineLvl w:val="9"/>
              <w:rPr>
                <w:rFonts w:hint="eastAsia"/>
              </w:rPr>
            </w:pPr>
            <w:r>
              <w:rPr>
                <w:rFonts w:hint="eastAsia"/>
                <w:lang w:eastAsia="ja-JP"/>
              </w:rPr>
              <w:t>⑽　</w:t>
            </w:r>
            <w:r>
              <w:rPr>
                <w:rFonts w:hint="eastAsia"/>
              </w:rPr>
              <w:t>ロシアを原産地とするダイヤモンド（関税率表第七一〇二・一〇号、第七一〇二・三一号及び第七一〇二・三九号に掲げるものに限る。）であって、一個あたりの重量が１カラット未満のものを輸入しようとする者は、別に定めるところにより、経済産業大臣の確認を受けなければならない。</w:t>
            </w:r>
          </w:p>
        </w:tc>
        <w:tc>
          <w:tcPr>
            <w:tcW w:w="6520" w:type="dxa"/>
            <w:tcBorders>
              <w:top w:val="nil"/>
              <w:bottom w:val="nil"/>
            </w:tcBorders>
            <w:tcMar>
              <w:right w:w="0" w:type="dxa"/>
            </w:tcMar>
            <w:textDirection w:val="lrTbV"/>
            <w:vAlign w:val="top"/>
          </w:tcPr>
          <w:p>
            <w:pPr>
              <w:rPr>
                <w:rFonts w:hint="eastAsia"/>
              </w:rPr>
            </w:pPr>
            <w:r>
              <w:rPr>
                <w:rFonts w:hint="eastAsia"/>
              </w:rPr>
              <w:t>［新設］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8" w:hRule="atLeast"/>
        </w:trPr>
        <w:tc>
          <w:tcPr>
            <w:tcW w:w="6516" w:type="dxa"/>
            <w:gridSpan w:val="3"/>
            <w:tcBorders>
              <w:top w:val="nil"/>
              <w:bottom w:val="nil"/>
            </w:tcBorders>
            <w:tcMar>
              <w:right w:w="0" w:type="dxa"/>
            </w:tcMar>
            <w:textDirection w:val="lrTbV"/>
            <w:vAlign w:val="top"/>
          </w:tcPr>
          <w:p>
            <w:pPr>
              <w:widowControl w:val="0"/>
              <w:wordWrap/>
              <w:adjustRightInd/>
              <w:snapToGrid/>
              <w:spacing w:line="240" w:lineRule="auto"/>
              <w:ind w:left="420" w:leftChars="100" w:right="0" w:hanging="210" w:hangingChars="100"/>
              <w:jc w:val="both"/>
              <w:textAlignment w:val="auto"/>
              <w:outlineLvl w:val="9"/>
              <w:rPr>
                <w:rFonts w:hint="eastAsia"/>
                <w:lang w:eastAsia="ja-JP"/>
              </w:rPr>
            </w:pPr>
            <w:r>
              <w:rPr>
                <w:rFonts w:hint="eastAsia"/>
              </w:rPr>
              <w:t>８</w:t>
            </w:r>
            <w:r>
              <w:rPr>
                <w:rFonts w:hint="eastAsia"/>
                <w:lang w:eastAsia="ja-JP"/>
              </w:rPr>
              <w:t>⑴</w:t>
            </w:r>
            <w:r>
              <w:rPr>
                <w:rFonts w:hint="eastAsia"/>
              </w:rPr>
              <w:t>～</w:t>
            </w:r>
            <w:r>
              <w:rPr>
                <w:rFonts w:hint="eastAsia"/>
                <w:lang w:eastAsia="ja-JP"/>
              </w:rPr>
              <w:t>⑺　</w:t>
            </w:r>
            <w:r>
              <w:rPr>
                <w:rFonts w:hint="eastAsia"/>
              </w:rPr>
              <w:t>［略］</w:t>
            </w:r>
          </w:p>
          <w:p>
            <w:pPr>
              <w:widowControl w:val="0"/>
              <w:wordWrap/>
              <w:adjustRightInd/>
              <w:snapToGrid/>
              <w:spacing w:line="240" w:lineRule="auto"/>
              <w:ind w:left="420" w:leftChars="200" w:right="0" w:hanging="210" w:hangingChars="100"/>
              <w:jc w:val="both"/>
              <w:textAlignment w:val="auto"/>
              <w:outlineLvl w:val="9"/>
              <w:rPr>
                <w:rFonts w:hint="eastAsia"/>
                <w:lang w:eastAsia="ja-JP"/>
              </w:rPr>
            </w:pPr>
            <w:r>
              <w:rPr>
                <w:rFonts w:hint="eastAsia"/>
                <w:lang w:eastAsia="ja-JP"/>
              </w:rPr>
              <w:t>⑻　ダイヤモンド（関税率表第七一〇二・一〇号、第七一〇二・二一号及び第七一〇二・三一号に掲げる貨物に該当し、かつ、その容器又は包装が開いていないものであって、その容器又は包装に開かれた跡がないものに限る。ただし、中央アフリ</w:t>
            </w:r>
          </w:p>
        </w:tc>
        <w:tc>
          <w:tcPr>
            <w:tcW w:w="6520" w:type="dxa"/>
            <w:vMerge w:val="restart"/>
            <w:tcBorders>
              <w:top w:val="nil"/>
            </w:tcBorders>
            <w:tcMar>
              <w:right w:w="0" w:type="dxa"/>
            </w:tcMar>
            <w:textDirection w:val="lrTbV"/>
            <w:vAlign w:val="top"/>
          </w:tcPr>
          <w:p>
            <w:pPr>
              <w:widowControl w:val="0"/>
              <w:wordWrap/>
              <w:adjustRightInd/>
              <w:snapToGrid/>
              <w:spacing w:line="240" w:lineRule="auto"/>
              <w:ind w:left="420" w:leftChars="100" w:right="0" w:hanging="210" w:hangingChars="100"/>
              <w:jc w:val="both"/>
              <w:textAlignment w:val="auto"/>
              <w:outlineLvl w:val="9"/>
              <w:rPr>
                <w:rFonts w:hint="eastAsia"/>
                <w:lang w:eastAsia="ja-JP"/>
              </w:rPr>
            </w:pPr>
            <w:r>
              <w:rPr>
                <w:rFonts w:hint="eastAsia"/>
              </w:rPr>
              <w:t>８</w:t>
            </w:r>
            <w:r>
              <w:rPr>
                <w:rFonts w:hint="eastAsia"/>
                <w:lang w:eastAsia="ja-JP"/>
              </w:rPr>
              <w:t>⑴</w:t>
            </w:r>
            <w:r>
              <w:rPr>
                <w:rFonts w:hint="eastAsia"/>
              </w:rPr>
              <w:t>～</w:t>
            </w:r>
            <w:r>
              <w:rPr>
                <w:rFonts w:hint="eastAsia"/>
                <w:lang w:eastAsia="ja-JP"/>
              </w:rPr>
              <w:t>⑺　</w:t>
            </w:r>
            <w:r>
              <w:rPr>
                <w:rFonts w:hint="eastAsia"/>
              </w:rPr>
              <w:t>［略］</w:t>
            </w:r>
          </w:p>
          <w:p>
            <w:pPr>
              <w:widowControl w:val="0"/>
              <w:wordWrap/>
              <w:adjustRightInd/>
              <w:snapToGrid/>
              <w:spacing w:line="240" w:lineRule="auto"/>
              <w:ind w:left="420" w:leftChars="200" w:right="0" w:hanging="210" w:hangingChars="100"/>
              <w:jc w:val="both"/>
              <w:textAlignment w:val="auto"/>
              <w:outlineLvl w:val="9"/>
              <w:rPr>
                <w:rFonts w:hint="eastAsia"/>
                <w:lang w:eastAsia="ja-JP"/>
              </w:rPr>
            </w:pPr>
            <w:r>
              <w:rPr>
                <w:rFonts w:hint="eastAsia"/>
                <w:lang w:eastAsia="ja-JP"/>
              </w:rPr>
              <w:t>⑻　ダイヤモンド（関税率表第七一〇二・一〇号、第七一〇二・二一号及び第七一〇二・三一号に掲げる貨物に該当し、かつ、その容器又は包装が開いていないものであって、その容器又は包装に開かれた跡がないものに限る。ただし、中央アフリカを原産地又は</w:t>
            </w:r>
            <w:r>
              <w:rPr>
                <w:rFonts w:hint="eastAsia"/>
                <w:u w:val="single" w:color="auto"/>
                <w:lang w:eastAsia="ja-JP"/>
              </w:rPr>
              <w:t>船積地域とするもの</w:t>
            </w:r>
            <w:r>
              <w:rPr>
                <w:rFonts w:hint="eastAsia"/>
                <w:lang w:eastAsia="ja-JP"/>
              </w:rPr>
              <w:t>を除く。）については、平成十四年十一月五日にインターラーケンで採択されたダイヤモンド原石の国際証明制度に基づき船積地域に係る国又は地域において発行されたキンバリー・プロセス証明書（当該証明書に係るダイヤモンドが当該制度に基づき取り扱われたものであることを証する書類をいう。）</w:t>
            </w:r>
          </w:p>
          <w:p>
            <w:pPr>
              <w:widowControl w:val="0"/>
              <w:wordWrap/>
              <w:adjustRightInd/>
              <w:snapToGrid/>
              <w:spacing w:line="240" w:lineRule="auto"/>
              <w:ind w:left="420" w:leftChars="200" w:right="0" w:hanging="210" w:hangingChars="100"/>
              <w:jc w:val="both"/>
              <w:textAlignment w:val="auto"/>
              <w:outlineLvl w:val="9"/>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109" w:type="dxa"/>
            <w:tcBorders>
              <w:top w:val="nil"/>
              <w:bottom w:val="nil"/>
              <w:right w:val="nil"/>
            </w:tcBorders>
            <w:tcMar>
              <w:right w:w="0" w:type="dxa"/>
            </w:tcMar>
            <w:textDirection w:val="lrTbV"/>
            <w:vAlign w:val="top"/>
          </w:tcPr>
          <w:p>
            <w:pPr>
              <w:widowControl w:val="0"/>
              <w:wordWrap/>
              <w:adjustRightInd/>
              <w:snapToGrid/>
              <w:spacing w:line="240" w:lineRule="auto"/>
              <w:ind w:left="420" w:leftChars="300" w:right="0" w:hanging="210" w:hangingChars="100"/>
              <w:jc w:val="both"/>
              <w:textAlignment w:val="auto"/>
              <w:outlineLvl w:val="9"/>
              <w:rPr>
                <w:rFonts w:hint="eastAsia"/>
                <w:lang w:eastAsia="ja-JP"/>
              </w:rPr>
            </w:pPr>
            <w:r>
              <w:rPr>
                <w:rFonts w:ascii="Century" w:hAnsi="Century" w:eastAsia="ＭＳ 明朝" w:cs="Times New Roman"/>
                <w:kern w:val="2"/>
                <w:sz w:val="21"/>
                <w:szCs w:val="22"/>
                <w:lang w:val="en-US" w:eastAsia="ja-JP" w:bidi="ar-SA"/>
              </w:rPr>
              <w:pict>
                <v:line id="直線 1" o:spid="_x0000_s1026" style="position:absolute;left:0;margin-left:105.8pt;margin-top:-0.1pt;height:0.1pt;width:214.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lang w:eastAsia="ja-JP"/>
              </w:rPr>
              <w:t>カを原産地又は船積地域とするもの、二の表の</w:t>
            </w:r>
          </w:p>
        </w:tc>
        <w:tc>
          <w:tcPr>
            <w:tcW w:w="507" w:type="dxa"/>
            <w:tcBorders>
              <w:top w:val="nil"/>
              <w:left w:val="nil"/>
              <w:bottom w:val="nil"/>
              <w:right w:val="nil"/>
            </w:tcBorders>
            <w:tcMar>
              <w:right w:w="0" w:type="dxa"/>
            </w:tcMar>
            <w:vAlign w:val="top"/>
          </w:tcPr>
          <w:p>
            <w:pPr>
              <w:widowControl w:val="0"/>
              <w:wordWrap/>
              <w:adjustRightInd/>
              <w:snapToGrid/>
              <w:spacing w:line="240" w:lineRule="auto"/>
              <w:ind w:left="0" w:leftChars="0" w:right="0" w:firstLine="0" w:firstLineChars="0"/>
              <w:jc w:val="both"/>
              <w:textAlignment w:val="auto"/>
              <w:outlineLvl w:val="9"/>
              <w:rPr>
                <w:rFonts w:hint="eastAsia"/>
                <w:lang w:eastAsia="ja-JP"/>
              </w:rPr>
            </w:pPr>
            <w:r>
              <w:rPr>
                <w:rFonts w:hint="eastAsia"/>
                <w:lang w:eastAsia="ja-JP"/>
              </w:rPr>
              <w:t>第１</w:t>
            </w:r>
          </w:p>
        </w:tc>
        <w:tc>
          <w:tcPr>
            <w:tcW w:w="900" w:type="dxa"/>
            <w:tcBorders>
              <w:top w:val="nil"/>
              <w:left w:val="nil"/>
              <w:bottom w:val="nil"/>
            </w:tcBorders>
            <w:tcMar>
              <w:right w:w="0" w:type="dxa"/>
            </w:tcMar>
            <w:textDirection w:val="lrTbV"/>
            <w:vAlign w:val="top"/>
          </w:tcPr>
          <w:p>
            <w:pPr>
              <w:widowControl w:val="0"/>
              <w:wordWrap/>
              <w:adjustRightInd/>
              <w:snapToGrid/>
              <w:spacing w:line="240" w:lineRule="auto"/>
              <w:ind w:left="0" w:leftChars="0" w:right="0" w:firstLine="0" w:firstLineChars="0"/>
              <w:jc w:val="both"/>
              <w:textAlignment w:val="auto"/>
              <w:outlineLvl w:val="9"/>
              <w:rPr>
                <w:rFonts w:hint="eastAsia"/>
                <w:lang w:eastAsia="ja-JP"/>
              </w:rPr>
            </w:pPr>
            <w:r>
              <w:rPr>
                <w:rFonts w:hint="eastAsia"/>
                <w:lang w:eastAsia="ja-JP"/>
              </w:rPr>
              <w:t>に基づき</w:t>
            </w:r>
          </w:p>
        </w:tc>
        <w:tc>
          <w:tcPr>
            <w:tcW w:w="6520" w:type="dxa"/>
            <w:vMerge w:val="continue"/>
            <w:tcBorders>
              <w:bottom w:val="nil"/>
            </w:tcBorders>
            <w:tcMar>
              <w:right w:w="0" w:type="dxa"/>
            </w:tcMar>
            <w:vAlign w:val="top"/>
          </w:tcPr>
          <w:p>
            <w:pPr>
              <w:widowControl w:val="0"/>
              <w:wordWrap/>
              <w:adjustRightInd/>
              <w:snapToGrid/>
              <w:spacing w:line="240" w:lineRule="auto"/>
              <w:ind w:left="420" w:leftChars="200" w:right="0" w:hanging="210" w:hangingChars="100"/>
              <w:jc w:val="both"/>
              <w:textAlignment w:val="auto"/>
              <w:outlineLvl w:val="9"/>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27" w:hRule="atLeast"/>
        </w:trPr>
        <w:tc>
          <w:tcPr>
            <w:tcW w:w="6516" w:type="dxa"/>
            <w:gridSpan w:val="3"/>
            <w:tcBorders>
              <w:top w:val="nil"/>
              <w:bottom w:val="nil"/>
            </w:tcBorders>
            <w:tcMar>
              <w:right w:w="0" w:type="dxa"/>
            </w:tcMar>
            <w:textDirection w:val="lrTbV"/>
            <w:vAlign w:val="top"/>
          </w:tcPr>
          <w:p>
            <w:pPr>
              <w:widowControl w:val="0"/>
              <w:wordWrap/>
              <w:adjustRightInd/>
              <w:snapToGrid/>
              <w:spacing w:line="240" w:lineRule="auto"/>
              <w:ind w:left="630" w:leftChars="300" w:right="0" w:firstLine="0" w:firstLineChars="0"/>
              <w:jc w:val="both"/>
              <w:textAlignment w:val="auto"/>
              <w:outlineLvl w:val="9"/>
              <w:rPr>
                <w:rFonts w:hint="eastAsia"/>
                <w:lang w:eastAsia="ja-JP"/>
              </w:rPr>
            </w:pPr>
            <w:r>
              <w:rPr>
                <w:rFonts w:hint="eastAsia"/>
                <w:u w:val="single" w:color="auto"/>
                <w:lang w:eastAsia="ja-JP"/>
              </w:rPr>
              <w:t>二号承認を受けるべきもの及び７の⑽に基づき経済産業大臣の確認を受けるべきものであってその確認を受けていないもの</w:t>
            </w:r>
            <w:r>
              <w:rPr>
                <w:rFonts w:hint="eastAsia"/>
                <w:lang w:eastAsia="ja-JP"/>
              </w:rPr>
              <w:t>を除く。）については、平成十四年十一月五日にインターラーケンで採択されたダイヤモンド原石の国際証明制度に基づき船積地域に係る国又は地域において発行されたキンバリー・プロセス証明書（当該証明書に係るダイヤモンドが当該制度に基づき取り扱われたものであることを証する書類をいう。）</w:t>
            </w:r>
          </w:p>
        </w:tc>
        <w:tc>
          <w:tcPr>
            <w:tcW w:w="6520" w:type="dxa"/>
            <w:vMerge w:val="continue"/>
            <w:tcBorders>
              <w:top w:val="nil"/>
              <w:bottom w:val="nil"/>
            </w:tcBorders>
            <w:tcMar>
              <w:right w:w="0" w:type="dxa"/>
            </w:tcMar>
            <w:vAlign w:val="top"/>
          </w:tcPr>
          <w:p>
            <w:pPr>
              <w:widowControl w:val="0"/>
              <w:wordWrap/>
              <w:adjustRightInd/>
              <w:snapToGrid/>
              <w:spacing w:line="240" w:lineRule="auto"/>
              <w:ind w:left="420" w:leftChars="200" w:right="0" w:hanging="210" w:hangingChars="100"/>
              <w:jc w:val="both"/>
              <w:textAlignment w:val="auto"/>
              <w:outlineLvl w:val="9"/>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6516" w:type="dxa"/>
            <w:gridSpan w:val="3"/>
            <w:tcBorders>
              <w:top w:val="nil"/>
              <w:bottom w:val="single" w:color="auto" w:sz="4" w:space="0"/>
            </w:tcBorders>
            <w:tcMar>
              <w:right w:w="0" w:type="dxa"/>
            </w:tcMar>
            <w:vAlign w:val="top"/>
          </w:tcPr>
          <w:p>
            <w:pPr>
              <w:widowControl w:val="0"/>
              <w:wordWrap/>
              <w:adjustRightInd/>
              <w:snapToGrid/>
              <w:spacing w:line="240" w:lineRule="auto"/>
              <w:ind w:left="420" w:leftChars="200" w:right="0" w:hanging="210" w:hangingChars="100"/>
              <w:jc w:val="both"/>
              <w:textAlignment w:val="auto"/>
              <w:outlineLvl w:val="9"/>
              <w:rPr>
                <w:rFonts w:hint="eastAsia"/>
                <w:lang w:eastAsia="ja-JP"/>
              </w:rPr>
            </w:pPr>
            <w:r>
              <w:rPr>
                <w:rFonts w:hint="eastAsia"/>
                <w:lang w:eastAsia="ja-JP"/>
              </w:rPr>
              <w:t>⑼・⑽　</w:t>
            </w:r>
            <w:r>
              <w:rPr>
                <w:rFonts w:hint="eastAsia"/>
              </w:rPr>
              <w:t>［略］</w:t>
            </w:r>
          </w:p>
        </w:tc>
        <w:tc>
          <w:tcPr>
            <w:tcW w:w="6520" w:type="dxa"/>
            <w:tcBorders>
              <w:top w:val="nil"/>
              <w:bottom w:val="single" w:color="auto" w:sz="4" w:space="0"/>
            </w:tcBorders>
            <w:tcMar>
              <w:right w:w="0" w:type="dxa"/>
            </w:tcMar>
            <w:vAlign w:val="top"/>
          </w:tcPr>
          <w:p>
            <w:pPr>
              <w:widowControl w:val="0"/>
              <w:wordWrap/>
              <w:adjustRightInd/>
              <w:snapToGrid/>
              <w:spacing w:line="240" w:lineRule="auto"/>
              <w:ind w:left="420" w:leftChars="200" w:right="0" w:hanging="210" w:hangingChars="100"/>
              <w:jc w:val="both"/>
              <w:textAlignment w:val="auto"/>
              <w:outlineLvl w:val="9"/>
              <w:rPr>
                <w:rFonts w:hint="eastAsia"/>
                <w:lang w:eastAsia="ja-JP"/>
              </w:rPr>
            </w:pPr>
            <w:r>
              <w:rPr>
                <w:rFonts w:hint="eastAsia"/>
                <w:lang w:eastAsia="ja-JP"/>
              </w:rPr>
              <w:t>⑼・⑽　</w:t>
            </w:r>
            <w:r>
              <w:rPr>
                <w:rFonts w:hint="eastAsia"/>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036" w:type="dxa"/>
            <w:gridSpan w:val="4"/>
            <w:tcBorders>
              <w:top w:val="single" w:color="auto" w:sz="4" w:space="0"/>
              <w:bottom w:val="single" w:color="auto" w:sz="4" w:space="0"/>
            </w:tcBorders>
            <w:tcMar>
              <w:right w:w="0" w:type="dxa"/>
            </w:tcMar>
            <w:textDirection w:val="lrTbV"/>
            <w:vAlign w:val="top"/>
          </w:tcPr>
          <w:p>
            <w:r>
              <w:rPr>
                <w:rFonts w:hint="eastAsia"/>
              </w:rPr>
              <w:t>備考表中の［</w:t>
            </w:r>
            <w:r>
              <w:rPr>
                <w:rFonts w:hint="eastAsia"/>
                <w:lang w:eastAsia="ja-JP"/>
              </w:rPr>
              <w:t>　</w:t>
            </w:r>
            <w:r>
              <w:rPr>
                <w:rFonts w:hint="eastAsia"/>
              </w:rPr>
              <w:t>］は注記である。</w:t>
            </w:r>
          </w:p>
        </w:tc>
      </w:tr>
    </w:tbl>
    <w:p>
      <w:pPr>
        <w:widowControl/>
        <w:ind w:left="630" w:leftChars="300"/>
        <w:jc w:val="left"/>
      </w:pPr>
      <w:r>
        <w:rPr>
          <w:rFonts w:hint="eastAsia"/>
        </w:rPr>
        <w:t>附則</w:t>
      </w:r>
    </w:p>
    <w:p>
      <w:pPr>
        <w:widowControl/>
        <w:ind w:firstLine="210" w:firstLineChars="100"/>
        <w:jc w:val="left"/>
      </w:pPr>
      <w:r>
        <w:rPr>
          <w:rFonts w:hint="eastAsia"/>
        </w:rPr>
        <w:t>この告示は、令和六年五月十日から施行する。ただし、この告示の施行前に輸入に係る契約を行った者がその契約に基づいてする輸入については、施行の日から起算して三月を経過した日までは、なお従前の例による。</w:t>
      </w:r>
    </w:p>
    <w:sectPr>
      <w:pgSz w:w="16838" w:h="11906" w:orient="landscape"/>
      <w:pgMar w:top="1701" w:right="1985" w:bottom="1701" w:left="1701" w:header="851" w:footer="992" w:gutter="0"/>
      <w:pgBorders>
        <w:top w:val="none" w:color="auto" w:sz="0" w:space="0"/>
        <w:left w:val="none" w:color="auto" w:sz="0" w:space="0"/>
        <w:bottom w:val="none" w:color="auto" w:sz="0" w:space="0"/>
        <w:right w:val="none" w:color="auto" w:sz="0" w:space="0"/>
      </w:pgBorders>
      <w:cols w:space="720" w:num="1"/>
      <w:textDirection w:val="lrTbV"/>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96010"/>
    <w:rsid w:val="0024518D"/>
    <w:rsid w:val="0025742B"/>
    <w:rsid w:val="00353F51"/>
    <w:rsid w:val="003F55C4"/>
    <w:rsid w:val="004019DD"/>
    <w:rsid w:val="004A6AC7"/>
    <w:rsid w:val="004C02AC"/>
    <w:rsid w:val="004F19C0"/>
    <w:rsid w:val="005079B4"/>
    <w:rsid w:val="00522C4D"/>
    <w:rsid w:val="005E3308"/>
    <w:rsid w:val="00632B2A"/>
    <w:rsid w:val="00660F89"/>
    <w:rsid w:val="00670D05"/>
    <w:rsid w:val="007937A6"/>
    <w:rsid w:val="0079427B"/>
    <w:rsid w:val="007B6F9C"/>
    <w:rsid w:val="007E68A7"/>
    <w:rsid w:val="00852934"/>
    <w:rsid w:val="00A04F1E"/>
    <w:rsid w:val="00A67B5F"/>
    <w:rsid w:val="00B51D25"/>
    <w:rsid w:val="00B96A2B"/>
    <w:rsid w:val="00C05A14"/>
    <w:rsid w:val="00C255A6"/>
    <w:rsid w:val="00C737BB"/>
    <w:rsid w:val="00CA3264"/>
    <w:rsid w:val="00D1601D"/>
    <w:rsid w:val="00D16CDE"/>
    <w:rsid w:val="00D654ED"/>
    <w:rsid w:val="00DA0E8E"/>
    <w:rsid w:val="00E50700"/>
    <w:rsid w:val="00E63470"/>
    <w:rsid w:val="00E7268B"/>
    <w:rsid w:val="00ED2F18"/>
    <w:rsid w:val="00F06710"/>
    <w:rsid w:val="00F17EE5"/>
    <w:rsid w:val="00FC4585"/>
    <w:rsid w:val="00FD690A"/>
    <w:rsid w:val="055535F6"/>
    <w:rsid w:val="0A960A6B"/>
    <w:rsid w:val="17BE4C81"/>
    <w:rsid w:val="1A6F07A0"/>
    <w:rsid w:val="25D34579"/>
    <w:rsid w:val="2B180381"/>
    <w:rsid w:val="33E44F52"/>
    <w:rsid w:val="6ECA7E4F"/>
    <w:rsid w:val="6F3A2F1E"/>
    <w:rsid w:val="7EBA6F0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Note Heading"/>
    <w:basedOn w:val="1"/>
    <w:next w:val="1"/>
    <w:link w:val="13"/>
    <w:unhideWhenUsed/>
    <w:uiPriority w:val="99"/>
    <w:pPr>
      <w:jc w:val="center"/>
    </w:pPr>
  </w:style>
  <w:style w:type="paragraph" w:styleId="3">
    <w:name w:val="Closing"/>
    <w:basedOn w:val="1"/>
    <w:link w:val="14"/>
    <w:unhideWhenUsed/>
    <w:uiPriority w:val="99"/>
    <w:pPr>
      <w:jc w:val="right"/>
    </w:pPr>
  </w:style>
  <w:style w:type="paragraph" w:styleId="4">
    <w:name w:val="Date"/>
    <w:basedOn w:val="1"/>
    <w:next w:val="1"/>
    <w:link w:val="12"/>
    <w:unhideWhenUsed/>
    <w:uiPriority w:val="99"/>
  </w:style>
  <w:style w:type="paragraph" w:styleId="5">
    <w:name w:val="footer"/>
    <w:basedOn w:val="1"/>
    <w:link w:val="11"/>
    <w:unhideWhenUsed/>
    <w:uiPriority w:val="99"/>
    <w:pPr>
      <w:tabs>
        <w:tab w:val="center" w:pos="4252"/>
        <w:tab w:val="right" w:pos="8504"/>
      </w:tabs>
      <w:snapToGrid w:val="0"/>
    </w:pPr>
  </w:style>
  <w:style w:type="paragraph" w:styleId="6">
    <w:name w:val="header"/>
    <w:basedOn w:val="1"/>
    <w:link w:val="10"/>
    <w:unhideWhenUsed/>
    <w:uiPriority w:val="99"/>
    <w:pPr>
      <w:tabs>
        <w:tab w:val="center" w:pos="4252"/>
        <w:tab w:val="right" w:pos="8504"/>
      </w:tabs>
      <w:snapToGrid w:val="0"/>
    </w:pPr>
  </w:style>
  <w:style w:type="table" w:styleId="9">
    <w:name w:val="Table Grid"/>
    <w:basedOn w:val="8"/>
    <w:uiPriority w:val="3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ヘッダー (文字)"/>
    <w:basedOn w:val="7"/>
    <w:link w:val="6"/>
    <w:uiPriority w:val="99"/>
    <w:rPr/>
  </w:style>
  <w:style w:type="character" w:customStyle="1" w:styleId="11">
    <w:name w:val="フッター (文字)"/>
    <w:basedOn w:val="7"/>
    <w:link w:val="5"/>
    <w:uiPriority w:val="99"/>
    <w:rPr/>
  </w:style>
  <w:style w:type="character" w:customStyle="1" w:styleId="12">
    <w:name w:val="日付 (文字)"/>
    <w:basedOn w:val="7"/>
    <w:link w:val="4"/>
    <w:semiHidden/>
    <w:uiPriority w:val="99"/>
    <w:rPr/>
  </w:style>
  <w:style w:type="character" w:customStyle="1" w:styleId="13">
    <w:name w:val="記 (文字)"/>
    <w:basedOn w:val="7"/>
    <w:link w:val="2"/>
    <w:uiPriority w:val="99"/>
    <w:rPr/>
  </w:style>
  <w:style w:type="character" w:customStyle="1" w:styleId="14">
    <w:name w:val="結語 (文字)"/>
    <w:basedOn w:val="7"/>
    <w:link w:val="3"/>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304</Words>
  <Characters>1736</Characters>
  <Lines>14</Lines>
  <Paragraphs>4</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2022-04-13T01:35:00Z</dcterms:created>
  <dc:creator>鈴木　恒久</dc:creator>
  <cp:lastModifiedBy>恒久</cp:lastModifiedBy>
  <cp:lastPrinted>2022-02-28T02:35:00Z</cp:lastPrinted>
  <dcterms:modified xsi:type="dcterms:W3CDTF">2024-09-03T00:44:55Z</dcterms:modified>
  <dc:title>ロシア連邦を原産地又は船積地域とする貨物の輸入の禁止措置に伴う税関の対応について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