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jc w:val="center"/>
      </w:pPr>
      <w:r>
        <w:rPr>
          <w:rFonts w:hint="eastAsia"/>
        </w:rPr>
        <w:t>ロシア及びベラルーシ以外の国の特定団体への輸出の禁止措置に伴う税関の対応について</w:t>
      </w:r>
    </w:p>
    <w:p>
      <w:pPr>
        <w:autoSpaceDN w:val="0"/>
        <w:ind w:firstLine="840"/>
      </w:pPr>
      <w:r>
        <w:rPr>
          <w:rFonts w:hint="eastAsia"/>
        </w:rPr>
        <w:t>令和6年6月26日財関第661号</w:t>
      </w:r>
    </w:p>
    <w:p>
      <w:pPr>
        <w:autoSpaceDN w:val="0"/>
      </w:pPr>
    </w:p>
    <w:p>
      <w:pPr>
        <w:autoSpaceDN w:val="0"/>
        <w:ind w:firstLine="210" w:firstLineChars="100"/>
        <w:rPr>
          <w:rFonts w:hint="eastAsia"/>
        </w:rPr>
      </w:pPr>
      <w:r>
        <w:rPr>
          <w:rFonts w:hint="eastAsia"/>
        </w:rPr>
        <w:t>ウクライナをめぐる現下の情勢に鑑み、この問題の解決を目指す国際平和のための国際的な努力に我が国として寄与するため、主要国が講ずることとした措置の内容に沿い、外国為替及び外国貿易法（昭和24年法律第228号）により、ロシア及びベラルーシ以外の国の特定団体への輸出に係る禁止措置を実施することが決定され、6月21日に「ロシア連邦関係者に対する資産凍結等の措置等について」が閣議了解されたところである。</w:t>
      </w:r>
    </w:p>
    <w:p>
      <w:pPr>
        <w:autoSpaceDN w:val="0"/>
        <w:ind w:firstLine="210" w:firstLineChars="100"/>
        <w:rPr>
          <w:rFonts w:hint="eastAsia"/>
        </w:rPr>
      </w:pPr>
      <w:r>
        <w:rPr>
          <w:rFonts w:hint="eastAsia"/>
        </w:rPr>
        <w:t>これを受けて、ロシア及びベラルーシ以外の国の特定団体への輸出の禁止措置を実施するため、輸出貿易管理令の一部を改正する政令（令和6年政令第227号）が７月３日から施行される。</w:t>
      </w:r>
    </w:p>
    <w:p>
      <w:pPr>
        <w:autoSpaceDN w:val="0"/>
        <w:ind w:firstLine="210" w:firstLineChars="100"/>
        <w:rPr>
          <w:rFonts w:hint="eastAsia"/>
        </w:rPr>
      </w:pPr>
      <w:r>
        <w:rPr>
          <w:rFonts w:hint="eastAsia"/>
        </w:rPr>
        <w:t>税関においては、経済産業省貿易経済協力局長からの通知（別紙）を踏まえ、関係省庁との連携を密にし、本輸出の禁止措置の実効性の確保に努めるため、下記により実施されたい。</w:t>
      </w:r>
    </w:p>
    <w:p>
      <w:pPr>
        <w:autoSpaceDN w:val="0"/>
        <w:ind w:firstLine="210" w:firstLineChars="100"/>
      </w:pPr>
    </w:p>
    <w:p>
      <w:pPr>
        <w:autoSpaceDN w:val="0"/>
        <w:ind w:firstLine="210" w:firstLineChars="100"/>
      </w:pPr>
    </w:p>
    <w:p>
      <w:pPr>
        <w:autoSpaceDN w:val="0"/>
        <w:ind w:firstLine="210" w:firstLineChars="100"/>
        <w:jc w:val="center"/>
      </w:pPr>
      <w:r>
        <w:rPr>
          <w:rFonts w:hint="eastAsia"/>
        </w:rPr>
        <w:t>記</w:t>
      </w:r>
    </w:p>
    <w:p>
      <w:pPr>
        <w:widowControl/>
        <w:autoSpaceDN w:val="0"/>
        <w:jc w:val="left"/>
      </w:pPr>
    </w:p>
    <w:p>
      <w:pPr>
        <w:widowControl/>
        <w:autoSpaceDN w:val="0"/>
        <w:ind w:left="210" w:hanging="210" w:hangingChars="100"/>
        <w:jc w:val="left"/>
        <w:rPr>
          <w:rFonts w:hint="eastAsia"/>
        </w:rPr>
      </w:pPr>
      <w:r>
        <w:rPr>
          <w:rFonts w:hint="eastAsia"/>
        </w:rPr>
        <w:t>１．税関における審査に際しては、通関関係書類等により経済産業大臣の輸出の承認の要否を慎重に確認するとともに、経済産業省と緊密に連携することにより、本輸出の禁止措置の実効性を確保すること。</w:t>
      </w:r>
    </w:p>
    <w:p>
      <w:pPr>
        <w:widowControl/>
        <w:autoSpaceDN w:val="0"/>
        <w:ind w:left="210" w:hanging="210" w:hangingChars="100"/>
        <w:jc w:val="left"/>
      </w:pPr>
      <w:r>
        <w:rPr>
          <w:rFonts w:hint="eastAsia"/>
        </w:rPr>
        <w:t>２．上記により適正な通関の徹底を図るほか、事後調査を的確に実施し、違法行為が発見された場合には厳正に対処すること。また、関係省庁や関係機関との緊密な情報交換及び連携並びに通関業者、倉庫業者等の関係業者などからの情報収集について、一層の充実を図ること。</w:t>
      </w:r>
    </w:p>
    <w:p>
      <w:pPr>
        <w:widowControl/>
        <w:jc w:val="left"/>
      </w:pPr>
      <w:r>
        <w:br w:type="page"/>
      </w:r>
    </w:p>
    <w:p>
      <w:pPr>
        <w:rPr>
          <w:rFonts w:hint="eastAsia" w:ascii="ＭＳ 明朝" w:hAnsi="ＭＳ 明朝" w:eastAsia="ＭＳ 明朝" w:cs="ＭＳ 明朝"/>
        </w:rPr>
      </w:pPr>
    </w:p>
    <w:p>
      <w:pPr>
        <w:autoSpaceDN w:val="0"/>
        <w:jc w:val="right"/>
        <w:rPr>
          <w:rFonts w:hint="eastAsia" w:ascii="ＭＳ 明朝" w:hAnsi="ＭＳ 明朝" w:eastAsia="ＭＳ 明朝" w:cs="ＭＳ 明朝"/>
          <w:sz w:val="21"/>
          <w:szCs w:val="21"/>
        </w:rPr>
      </w:pPr>
      <w:r>
        <w:rPr>
          <w:rFonts w:ascii="SimSun" w:hAnsi="SimSun" w:eastAsia="SimSun" w:cs="SimSun"/>
          <w:sz w:val="24"/>
          <w:szCs w:val="24"/>
        </w:rPr>
        <w:t>令和6年6月26日20240618貿局第3号</w:t>
      </w:r>
    </w:p>
    <w:p>
      <w:pPr>
        <w:autoSpaceDN w:val="0"/>
        <w:rPr>
          <w:rFonts w:hint="eastAsia" w:ascii="ＭＳ 明朝" w:hAnsi="ＭＳ 明朝" w:eastAsia="ＭＳ 明朝" w:cs="ＭＳ 明朝"/>
          <w:sz w:val="21"/>
          <w:szCs w:val="21"/>
        </w:rPr>
      </w:pPr>
    </w:p>
    <w:p>
      <w:pPr>
        <w:autoSpaceDN w:val="0"/>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財務省関税局長　殿</w:t>
      </w:r>
    </w:p>
    <w:p>
      <w:pPr>
        <w:autoSpaceDN w:val="0"/>
        <w:rPr>
          <w:rFonts w:hint="eastAsia" w:ascii="ＭＳ 明朝" w:hAnsi="ＭＳ 明朝" w:eastAsia="ＭＳ 明朝" w:cs="ＭＳ 明朝"/>
          <w:sz w:val="21"/>
          <w:szCs w:val="21"/>
        </w:rPr>
      </w:pPr>
    </w:p>
    <w:p>
      <w:pPr>
        <w:autoSpaceDN w:val="0"/>
        <w:jc w:val="right"/>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経済産業省貿易経済協力局長</w:t>
      </w:r>
    </w:p>
    <w:p>
      <w:pPr>
        <w:autoSpaceDN w:val="0"/>
        <w:rPr>
          <w:rFonts w:hint="eastAsia" w:ascii="ＭＳ 明朝" w:hAnsi="ＭＳ 明朝" w:eastAsia="ＭＳ 明朝" w:cs="ＭＳ 明朝"/>
          <w:sz w:val="21"/>
          <w:szCs w:val="21"/>
        </w:rPr>
      </w:pPr>
    </w:p>
    <w:p>
      <w:pPr>
        <w:autoSpaceDN w:val="0"/>
        <w:jc w:val="center"/>
        <w:rPr>
          <w:rFonts w:hint="eastAsia" w:ascii="ＭＳ 明朝" w:hAnsi="ＭＳ 明朝" w:eastAsia="ＭＳ 明朝" w:cs="ＭＳ 明朝"/>
          <w:sz w:val="21"/>
          <w:szCs w:val="21"/>
        </w:rPr>
      </w:pPr>
      <w:r>
        <w:rPr>
          <w:rFonts w:hint="eastAsia" w:ascii="ＭＳ 明朝" w:hAnsi="ＭＳ 明朝" w:eastAsia="ＭＳ 明朝" w:cs="ＭＳ 明朝"/>
          <w:sz w:val="21"/>
          <w:szCs w:val="21"/>
        </w:rPr>
        <w:t>ロシア及びベラルーシ以外の国の特定団体への輸出禁止措置について</w:t>
      </w:r>
    </w:p>
    <w:p>
      <w:pPr>
        <w:widowControl/>
        <w:ind w:firstLine="210" w:firstLineChars="100"/>
        <w:jc w:val="left"/>
        <w:rPr>
          <w:rFonts w:hint="eastAsia" w:ascii="ＭＳ 明朝" w:hAnsi="ＭＳ 明朝" w:eastAsia="ＭＳ 明朝" w:cs="ＭＳ 明朝"/>
          <w:sz w:val="21"/>
          <w:szCs w:val="21"/>
        </w:rPr>
      </w:pPr>
    </w:p>
    <w:p>
      <w:pPr>
        <w:widowControl/>
        <w:ind w:firstLine="210" w:firstLineChars="100"/>
        <w:jc w:val="left"/>
      </w:pPr>
      <w:r>
        <w:rPr>
          <w:rFonts w:hint="eastAsia" w:ascii="ＭＳ 明朝" w:hAnsi="ＭＳ 明朝" w:eastAsia="ＭＳ 明朝" w:cs="ＭＳ 明朝"/>
          <w:sz w:val="21"/>
          <w:szCs w:val="21"/>
        </w:rPr>
        <w:t>上記の件について、令和6年6月21日付け閣議決定に基づき、別紙のとおり輸出貿易管理令の一部を改正する政令が施行されることになるため、税関においても本改正の趣旨を踏まえ当省と連携の上、御対応方よろしくお願いいたします。</w:t>
      </w:r>
      <w:bookmarkStart w:id="0" w:name="_GoBack"/>
      <w:bookmarkEnd w:id="0"/>
    </w:p>
    <w:p>
      <w:pPr>
        <w:sectPr>
          <w:pgSz w:w="11906" w:h="16838"/>
          <w:pgMar w:top="1985" w:right="1701" w:bottom="1701" w:left="1701" w:header="851" w:footer="992" w:gutter="0"/>
          <w:cols w:space="720" w:num="1"/>
          <w:docGrid w:type="lines" w:linePitch="360" w:charSpace="0"/>
        </w:sectPr>
      </w:pPr>
    </w:p>
    <w:p>
      <w:pPr>
        <w:widowControl/>
        <w:jc w:val="left"/>
      </w:pPr>
      <w:r>
        <w:rPr>
          <w:rFonts w:hint="eastAsia"/>
        </w:rPr>
        <w:t>政令第</w:t>
      </w:r>
      <w:r>
        <w:rPr>
          <w:rFonts w:hint="eastAsia"/>
          <w:lang w:val="en-US" w:eastAsia="ja-JP"/>
        </w:rPr>
        <w:t>二百二十七</w:t>
      </w:r>
      <w:r>
        <w:rPr>
          <w:rFonts w:hint="eastAsia"/>
        </w:rPr>
        <w:t>号</w:t>
      </w:r>
    </w:p>
    <w:p>
      <w:pPr>
        <w:widowControl/>
        <w:ind w:left="630" w:leftChars="300"/>
        <w:jc w:val="left"/>
      </w:pPr>
      <w:r>
        <w:rPr>
          <w:rFonts w:hint="eastAsia"/>
        </w:rPr>
        <w:t>輸出貿易管理令の一部を改正する政令</w:t>
      </w:r>
    </w:p>
    <w:p>
      <w:pPr>
        <w:widowControl/>
        <w:ind w:firstLine="210" w:firstLineChars="100"/>
        <w:jc w:val="left"/>
      </w:pPr>
      <w:r>
        <w:rPr>
          <w:rFonts w:hint="eastAsia"/>
        </w:rPr>
        <w:t>内閣は、外国為替及び外国貿易法（昭和二十四年法律第二百二十八号）第四十八条第三項及び第六十九条の五の規定に基づき、この政令を制定する。</w:t>
      </w:r>
    </w:p>
    <w:p>
      <w:pPr>
        <w:widowControl/>
        <w:wordWrap/>
        <w:adjustRightInd/>
        <w:snapToGrid/>
        <w:spacing w:line="240" w:lineRule="auto"/>
        <w:ind w:left="0" w:leftChars="0" w:right="0" w:firstLine="210" w:firstLineChars="100"/>
        <w:jc w:val="left"/>
        <w:textAlignment w:val="auto"/>
        <w:outlineLvl w:val="9"/>
        <w:rPr>
          <w:rFonts w:hint="eastAsia"/>
        </w:rPr>
      </w:pPr>
      <w:r>
        <w:rPr>
          <w:rFonts w:hint="eastAsia"/>
        </w:rPr>
        <w:t>輸出貿易管理令（昭和二十四年政令第三百七十八号）の一部を次のように改正する。</w:t>
      </w:r>
    </w:p>
    <w:p>
      <w:pPr>
        <w:widowControl/>
        <w:wordWrap/>
        <w:adjustRightInd/>
        <w:snapToGrid/>
        <w:spacing w:line="240" w:lineRule="auto"/>
        <w:ind w:left="0" w:leftChars="0" w:right="0" w:firstLine="210" w:firstLineChars="100"/>
        <w:jc w:val="left"/>
        <w:textAlignment w:val="auto"/>
        <w:outlineLvl w:val="9"/>
        <w:rPr>
          <w:rFonts w:hint="eastAsia"/>
        </w:rPr>
      </w:pPr>
      <w:r>
        <w:rPr>
          <w:rFonts w:hint="eastAsia"/>
        </w:rPr>
        <w:t>別表第二の四中「アルメニア」の下に「、中華人民共和国、インド、カザフスタン」を加える。</w:t>
      </w:r>
    </w:p>
    <w:p>
      <w:pPr>
        <w:widowControl/>
        <w:wordWrap/>
        <w:adjustRightInd/>
        <w:snapToGrid/>
        <w:spacing w:line="240" w:lineRule="auto"/>
        <w:ind w:left="630" w:leftChars="300" w:right="0" w:firstLine="0" w:firstLineChars="0"/>
        <w:jc w:val="left"/>
        <w:textAlignment w:val="auto"/>
        <w:outlineLvl w:val="9"/>
        <w:rPr>
          <w:rFonts w:hint="eastAsia"/>
        </w:rPr>
      </w:pPr>
      <w:r>
        <w:rPr>
          <w:rFonts w:hint="eastAsia"/>
        </w:rPr>
        <w:t>附</w:t>
      </w:r>
      <w:r>
        <w:rPr>
          <w:rFonts w:hint="eastAsia"/>
          <w:lang w:eastAsia="ja-JP"/>
        </w:rPr>
        <w:t>　</w:t>
      </w:r>
      <w:r>
        <w:rPr>
          <w:rFonts w:hint="eastAsia"/>
        </w:rPr>
        <w:t>則</w:t>
      </w:r>
    </w:p>
    <w:p>
      <w:pPr>
        <w:widowControl/>
        <w:wordWrap/>
        <w:adjustRightInd/>
        <w:snapToGrid/>
        <w:spacing w:line="240" w:lineRule="auto"/>
        <w:ind w:left="210" w:leftChars="100" w:right="0" w:firstLine="0" w:firstLineChars="0"/>
        <w:jc w:val="left"/>
        <w:textAlignment w:val="auto"/>
        <w:outlineLvl w:val="9"/>
      </w:pPr>
      <w:r>
        <w:rPr>
          <w:rFonts w:hint="eastAsia"/>
        </w:rPr>
        <w:t>（施行期日）</w:t>
      </w:r>
    </w:p>
    <w:p>
      <w:pPr>
        <w:widowControl/>
        <w:jc w:val="left"/>
      </w:pPr>
      <w:r>
        <w:rPr>
          <w:rFonts w:hint="eastAsia"/>
        </w:rPr>
        <w:t>１　この政令は、公布の日から起算して七日を経過した日から施行する。</w:t>
      </w:r>
    </w:p>
    <w:p>
      <w:pPr>
        <w:widowControl/>
        <w:ind w:left="210" w:leftChars="100"/>
        <w:jc w:val="left"/>
      </w:pPr>
      <w:r>
        <w:rPr>
          <w:rFonts w:hint="eastAsia"/>
        </w:rPr>
        <w:t>（罰則に関する経過措置）</w:t>
      </w:r>
    </w:p>
    <w:p>
      <w:pPr>
        <w:widowControl/>
        <w:jc w:val="left"/>
        <w:rPr>
          <w:rFonts w:hint="eastAsia"/>
        </w:rPr>
      </w:pPr>
      <w:r>
        <w:rPr>
          <w:rFonts w:hint="eastAsia"/>
        </w:rPr>
        <w:t>２　この政令の施行前にした行為に対する罰則の適用については、なお従前の例による。</w:t>
      </w:r>
    </w:p>
    <w:p>
      <w:pPr>
        <w:widowControl/>
        <w:jc w:val="left"/>
        <w:rPr>
          <w:rFonts w:hint="eastAsia"/>
        </w:rPr>
      </w:pPr>
      <w:r>
        <w:rPr>
          <w:rFonts w:hint="eastAsia"/>
        </w:rPr>
        <w:br w:type="page"/>
      </w:r>
      <w:r>
        <w:rPr>
          <w:rFonts w:hint="eastAsia"/>
        </w:rPr>
        <w:t>輸出貿易管理令の一部を改正する政令案新旧対照条文</w:t>
      </w:r>
    </w:p>
    <w:p>
      <w:pPr>
        <w:widowControl/>
        <w:jc w:val="left"/>
        <w:rPr>
          <w:rFonts w:hint="eastAsia"/>
        </w:rPr>
      </w:pPr>
    </w:p>
    <w:p>
      <w:pPr>
        <w:widowControl/>
        <w:jc w:val="left"/>
        <w:rPr>
          <w:rFonts w:hint="eastAsia"/>
        </w:rPr>
      </w:pPr>
      <w:r>
        <w:rPr>
          <w:rFonts w:hint="eastAsia"/>
        </w:rPr>
        <w:t>（新旧対照条文一覧）</w:t>
      </w:r>
    </w:p>
    <w:p>
      <w:pPr>
        <w:widowControl/>
        <w:jc w:val="left"/>
        <w:rPr>
          <w:rFonts w:hint="eastAsia"/>
        </w:rPr>
      </w:pPr>
      <w:r>
        <w:rPr>
          <w:rFonts w:hint="eastAsia"/>
        </w:rPr>
        <w:t>○輸出貿易管理令（昭和二十四年政令第三百七十八号）（抄）・・・・・・・・・・・・・・・・・・・・・・・・・・・・・・・１</w:t>
      </w:r>
    </w:p>
    <w:p>
      <w:pPr>
        <w:widowControl/>
        <w:jc w:val="left"/>
      </w:pPr>
      <w:r>
        <w:br w:type="page"/>
      </w:r>
    </w:p>
    <w:p>
      <w:pPr>
        <w:widowControl/>
        <w:jc w:val="left"/>
      </w:pPr>
      <w:r>
        <w:rPr>
          <w:rFonts w:hint="eastAsia"/>
        </w:rPr>
        <w:t>○輸出貿易管理令（昭和二十四年政令第三百七十八号）（傍線部分は改正部分）</w:t>
      </w:r>
    </w:p>
    <w:tbl>
      <w:tblPr>
        <w:tblStyle w:val="9"/>
        <w:tblW w:w="130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3"/>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3" w:type="dxa"/>
            <w:textDirection w:val="lrTbV"/>
            <w:vAlign w:val="top"/>
          </w:tcPr>
          <w:p>
            <w:pPr>
              <w:jc w:val="center"/>
            </w:pPr>
            <w:r>
              <w:rPr>
                <w:rFonts w:hint="eastAsia"/>
              </w:rPr>
              <w:t>改正案</w:t>
            </w:r>
          </w:p>
        </w:tc>
        <w:tc>
          <w:tcPr>
            <w:tcW w:w="6516" w:type="dxa"/>
            <w:textDirection w:val="lrTbV"/>
            <w:vAlign w:val="top"/>
          </w:tcPr>
          <w:p>
            <w:pPr>
              <w:jc w:val="center"/>
            </w:pPr>
            <w:r>
              <w:rPr>
                <w:rFonts w:hint="eastAsia"/>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3" w:type="dxa"/>
            <w:textDirection w:val="lrTbV"/>
            <w:vAlign w:val="top"/>
          </w:tcPr>
          <w:p>
            <w:pPr>
              <w:widowControl/>
              <w:jc w:val="left"/>
            </w:pPr>
            <w:r>
              <w:rPr>
                <w:rFonts w:hint="eastAsia"/>
              </w:rPr>
              <w:t>別表第二の四（第二条、第四条関係）</w:t>
            </w:r>
          </w:p>
          <w:p>
            <w:pPr>
              <w:widowControl/>
              <w:wordWrap/>
              <w:adjustRightInd/>
              <w:snapToGrid/>
              <w:spacing w:line="240" w:lineRule="auto"/>
              <w:ind w:left="420" w:leftChars="100" w:right="0" w:firstLine="210" w:firstLineChars="100"/>
              <w:jc w:val="left"/>
              <w:textAlignment w:val="auto"/>
              <w:outlineLvl w:val="9"/>
            </w:pPr>
            <w:r>
              <w:rPr>
                <w:rFonts w:hint="eastAsia"/>
              </w:rPr>
              <w:t>アラブ首長国連邦、アルメニア</w:t>
            </w:r>
            <w:r>
              <w:rPr>
                <w:rFonts w:hint="eastAsia"/>
                <w:u w:val="single" w:color="auto"/>
              </w:rPr>
              <w:t>、中華人民共和国、インド、カザフスタン</w:t>
            </w:r>
            <w:r>
              <w:rPr>
                <w:rFonts w:hint="eastAsia"/>
              </w:rPr>
              <w:t>、シリア、ウズベキスタン</w:t>
            </w:r>
          </w:p>
        </w:tc>
        <w:tc>
          <w:tcPr>
            <w:tcW w:w="6516" w:type="dxa"/>
            <w:textDirection w:val="lrTbV"/>
            <w:vAlign w:val="top"/>
          </w:tcPr>
          <w:p>
            <w:pPr>
              <w:widowControl/>
              <w:jc w:val="left"/>
            </w:pPr>
            <w:r>
              <w:rPr>
                <w:rFonts w:hint="eastAsia"/>
              </w:rPr>
              <w:t>別表第二の四（第二条、第四条関係）</w:t>
            </w:r>
          </w:p>
          <w:p>
            <w:pPr>
              <w:widowControl/>
              <w:wordWrap/>
              <w:adjustRightInd/>
              <w:snapToGrid/>
              <w:spacing w:line="240" w:lineRule="auto"/>
              <w:ind w:left="420" w:leftChars="100" w:right="0" w:firstLine="210" w:firstLineChars="100"/>
              <w:jc w:val="left"/>
              <w:textAlignment w:val="auto"/>
              <w:outlineLvl w:val="9"/>
            </w:pPr>
            <w:r>
              <w:rPr>
                <w:rFonts w:hint="eastAsia"/>
              </w:rPr>
              <w:t>アラブ首長</w:t>
            </w:r>
            <w:r>
              <w:rPr>
                <w:rFonts w:hint="eastAsia"/>
                <w:u w:val="single" w:color="auto"/>
              </w:rPr>
              <w:t>国</w:t>
            </w:r>
            <w:r>
              <w:rPr>
                <w:rFonts w:hint="eastAsia"/>
              </w:rPr>
              <w:t>連邦、アルメニア、シリア、ウズベキスタン</w:t>
            </w:r>
          </w:p>
        </w:tc>
      </w:tr>
    </w:tbl>
    <w:p>
      <w:pPr>
        <w:rPr>
          <w:rFonts w:hint="eastAsia"/>
        </w:rPr>
      </w:pPr>
    </w:p>
    <w:sectPr>
      <w:pgSz w:w="16838" w:h="11906" w:orient="landscape"/>
      <w:pgMar w:top="1701" w:right="1985" w:bottom="1701" w:left="1701" w:header="851" w:footer="992" w:gutter="0"/>
      <w:cols w:space="720" w:num="1"/>
      <w:textDirection w:val="lrTbV"/>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840"/>
  <w:drawingGridHorizontalSpacing w:val="105"/>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114F67"/>
    <w:rsid w:val="00131F37"/>
    <w:rsid w:val="002A3018"/>
    <w:rsid w:val="003F55C4"/>
    <w:rsid w:val="004019DD"/>
    <w:rsid w:val="004F19C0"/>
    <w:rsid w:val="005079B4"/>
    <w:rsid w:val="00522C4D"/>
    <w:rsid w:val="005E3308"/>
    <w:rsid w:val="00653143"/>
    <w:rsid w:val="00660F89"/>
    <w:rsid w:val="00670D05"/>
    <w:rsid w:val="0079427B"/>
    <w:rsid w:val="007E68A7"/>
    <w:rsid w:val="008134A6"/>
    <w:rsid w:val="008633F5"/>
    <w:rsid w:val="00912FCA"/>
    <w:rsid w:val="00A04F1E"/>
    <w:rsid w:val="00A73F3B"/>
    <w:rsid w:val="00B51D25"/>
    <w:rsid w:val="00B96A2B"/>
    <w:rsid w:val="00C3198E"/>
    <w:rsid w:val="00C737BB"/>
    <w:rsid w:val="00DA0E8E"/>
    <w:rsid w:val="00DC3A20"/>
    <w:rsid w:val="00DD7288"/>
    <w:rsid w:val="00DD7E56"/>
    <w:rsid w:val="00E50700"/>
    <w:rsid w:val="00ED2F18"/>
    <w:rsid w:val="00F06710"/>
    <w:rsid w:val="00F17EE5"/>
    <w:rsid w:val="00F34065"/>
    <w:rsid w:val="00FC4585"/>
    <w:rsid w:val="00FD690A"/>
    <w:rsid w:val="085C504B"/>
    <w:rsid w:val="2BA776DE"/>
    <w:rsid w:val="2C1522B6"/>
    <w:rsid w:val="3FD768CC"/>
    <w:rsid w:val="4BCC2543"/>
    <w:rsid w:val="6BE768BF"/>
    <w:rsid w:val="72A93101"/>
    <w:rsid w:val="768A0C76"/>
    <w:rsid w:val="7E5570D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99" w:semiHidden="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99"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7">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Note Heading"/>
    <w:basedOn w:val="1"/>
    <w:next w:val="1"/>
    <w:link w:val="13"/>
    <w:unhideWhenUsed/>
    <w:uiPriority w:val="99"/>
    <w:pPr>
      <w:jc w:val="center"/>
    </w:pPr>
  </w:style>
  <w:style w:type="paragraph" w:styleId="3">
    <w:name w:val="Closing"/>
    <w:basedOn w:val="1"/>
    <w:link w:val="14"/>
    <w:unhideWhenUsed/>
    <w:uiPriority w:val="99"/>
    <w:pPr>
      <w:jc w:val="right"/>
    </w:pPr>
  </w:style>
  <w:style w:type="paragraph" w:styleId="4">
    <w:name w:val="Date"/>
    <w:basedOn w:val="1"/>
    <w:next w:val="1"/>
    <w:link w:val="12"/>
    <w:unhideWhenUsed/>
    <w:uiPriority w:val="99"/>
  </w:style>
  <w:style w:type="paragraph" w:styleId="5">
    <w:name w:val="footer"/>
    <w:basedOn w:val="1"/>
    <w:link w:val="11"/>
    <w:unhideWhenUsed/>
    <w:uiPriority w:val="99"/>
    <w:pPr>
      <w:tabs>
        <w:tab w:val="center" w:pos="4252"/>
        <w:tab w:val="right" w:pos="8504"/>
      </w:tabs>
      <w:snapToGrid w:val="0"/>
    </w:pPr>
  </w:style>
  <w:style w:type="paragraph" w:styleId="6">
    <w:name w:val="header"/>
    <w:basedOn w:val="1"/>
    <w:link w:val="10"/>
    <w:unhideWhenUsed/>
    <w:uiPriority w:val="99"/>
    <w:pPr>
      <w:tabs>
        <w:tab w:val="center" w:pos="4252"/>
        <w:tab w:val="right" w:pos="8504"/>
      </w:tabs>
      <w:snapToGrid w:val="0"/>
    </w:pPr>
  </w:style>
  <w:style w:type="table" w:styleId="9">
    <w:name w:val="Table Grid"/>
    <w:basedOn w:val="8"/>
    <w:uiPriority w:val="39"/>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ヘッダー (文字)"/>
    <w:basedOn w:val="7"/>
    <w:link w:val="6"/>
    <w:uiPriority w:val="99"/>
    <w:rPr/>
  </w:style>
  <w:style w:type="character" w:customStyle="1" w:styleId="11">
    <w:name w:val="フッター (文字)"/>
    <w:basedOn w:val="7"/>
    <w:link w:val="5"/>
    <w:uiPriority w:val="99"/>
    <w:rPr/>
  </w:style>
  <w:style w:type="character" w:customStyle="1" w:styleId="12">
    <w:name w:val="日付 (文字)"/>
    <w:basedOn w:val="7"/>
    <w:link w:val="4"/>
    <w:semiHidden/>
    <w:uiPriority w:val="99"/>
    <w:rPr/>
  </w:style>
  <w:style w:type="character" w:customStyle="1" w:styleId="13">
    <w:name w:val="記 (文字)"/>
    <w:basedOn w:val="7"/>
    <w:link w:val="2"/>
    <w:uiPriority w:val="99"/>
    <w:rPr/>
  </w:style>
  <w:style w:type="character" w:customStyle="1" w:styleId="14">
    <w:name w:val="結語 (文字)"/>
    <w:basedOn w:val="7"/>
    <w:link w:val="3"/>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1928</Words>
  <Characters>10990</Characters>
  <Lines>91</Lines>
  <Paragraphs>25</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2022-03-31T01:47:00Z</dcterms:created>
  <dc:creator>鈴木　恒久</dc:creator>
  <cp:lastModifiedBy>恒久</cp:lastModifiedBy>
  <dcterms:modified xsi:type="dcterms:W3CDTF">2024-06-26T23:56:59Z</dcterms:modified>
  <dc:title>ロシア連邦に対する奢侈品の輸出の禁止措置に伴う税関の対応について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