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hint="eastAsia"/>
        </w:rPr>
        <w:t>上限価格を超える価格で取引されるロシアを原産地とする原油の輸入禁止措置に伴う税関の対応について</w:t>
      </w:r>
    </w:p>
    <w:p/>
    <w:p>
      <w:pPr>
        <w:ind w:firstLine="840"/>
      </w:pPr>
      <w:r>
        <w:rPr>
          <w:rFonts w:hint="eastAsia"/>
        </w:rPr>
        <w:t>令和7年9月12日財関第903号</w:t>
      </w:r>
    </w:p>
    <w:p>
      <w:pPr>
        <w:ind w:firstLine="840"/>
      </w:pPr>
    </w:p>
    <w:p>
      <w:pPr>
        <w:ind w:firstLine="210" w:firstLineChars="100"/>
      </w:pPr>
      <w:r>
        <w:rPr>
          <w:rFonts w:hint="eastAsia"/>
        </w:rPr>
        <w:t>ウクライナをめぐる現下の情勢に鑑み、この問題の解決を目指す国際平和のための国際的な努力に我が国として寄与するため、主要国が講ずることとした措置の内容に沿い、外国為替及び外国貿易法（昭和24年法律第228号）により、ロシアを原産地とする原油の輸入禁止措置を実施することが決定され、令和4年12月5日の閣議了解「上限価格を超える価格で取引されるロシア連邦を原産地とする原油及び石油製品の輸入及び海上輸送等に関連するサービスの提供の禁止措置について」によりロシアからの原油の輸入の禁止措置を導入された</w:t>
      </w:r>
    </w:p>
    <w:p>
      <w:pPr>
        <w:ind w:firstLine="210" w:firstLineChars="100"/>
      </w:pPr>
      <w:r>
        <w:rPr>
          <w:rFonts w:hint="eastAsia"/>
        </w:rPr>
        <w:t>当該禁止措置は、上限価格である１バレル当たり60アメリカ合衆国ドルを超える価格で取引されるロシアを原産地とする原油（サハリン２プロジェクトにおいて生産された原油を除く。）が輸入禁止措置の対象となっているが、今般、上限価格を１バレル当たり47.6アメリカ合衆国ドルに引き下げる措置を実施するため、上限価格を定める外務省告示及び輸入公表の一部を改正する経済産業省告示が令和7年9月12日から施行される。</w:t>
      </w:r>
    </w:p>
    <w:p>
      <w:pPr>
        <w:ind w:firstLine="210" w:firstLineChars="100"/>
      </w:pPr>
      <w:r>
        <w:rPr>
          <w:rFonts w:hint="eastAsia"/>
        </w:rPr>
        <w:t>税関においては、経済産業省貿易経済安全保障局長からの通知（別紙）を踏まえ、関係省庁との連携を密にし、本輸入禁止措置の実効性の確保に努めるため、下記により実施されたい。</w:t>
      </w:r>
    </w:p>
    <w:p>
      <w:pPr>
        <w:ind w:firstLine="210" w:firstLineChars="100"/>
      </w:pPr>
    </w:p>
    <w:p>
      <w:pPr>
        <w:jc w:val="center"/>
      </w:pPr>
      <w:r>
        <w:rPr>
          <w:rFonts w:hint="eastAsia"/>
        </w:rPr>
        <w:t>記</w:t>
      </w:r>
    </w:p>
    <w:p>
      <w:pPr>
        <w:ind w:left="210" w:hanging="210" w:hangingChars="100"/>
      </w:pPr>
    </w:p>
    <w:p>
      <w:pPr>
        <w:ind w:left="210" w:hanging="210" w:hangingChars="100"/>
      </w:pPr>
      <w:r>
        <w:rPr>
          <w:rFonts w:hint="eastAsia"/>
        </w:rPr>
        <w:t>１．税関における審査に際しては、経済産業大臣の確認書を含む通関関係書類により経済産業大臣の輸入の承認の要否を慎重に確認すること。</w:t>
      </w:r>
    </w:p>
    <w:p>
      <w:pPr>
        <w:ind w:left="210" w:hanging="210" w:hangingChars="100"/>
      </w:pPr>
      <w:r>
        <w:rPr>
          <w:rFonts w:hint="eastAsia"/>
        </w:rPr>
        <w:t>２．上記により適正な通関の徹底を図るほか、輸入事後調査を的確に実施し、違法行為が発見された場合には厳正に対処すること。また、関係省庁や関係機関との緊密な情報交換及び連携並びに通関業者、倉庫業者等の関係業者などからの情報収集について、一層の充実を図ること。</w:t>
      </w:r>
    </w:p>
    <w:p>
      <w:pPr>
        <w:widowControl/>
        <w:jc w:val="left"/>
      </w:pPr>
      <w:r>
        <w:br w:type="page"/>
      </w:r>
    </w:p>
    <w:p>
      <w:pPr>
        <w:autoSpaceDN w:val="0"/>
        <w:ind w:left="210" w:hanging="210" w:hangingChars="100"/>
      </w:pPr>
    </w:p>
    <w:p>
      <w:pPr>
        <w:jc w:val="right"/>
      </w:pPr>
      <w:r>
        <w:rPr>
          <w:rFonts w:hint="eastAsia"/>
        </w:rPr>
        <w:t>別紙</w:t>
      </w:r>
    </w:p>
    <w:p/>
    <w:p>
      <w:pPr>
        <w:autoSpaceDN w:val="0"/>
        <w:jc w:val="right"/>
      </w:pPr>
      <w:r>
        <w:rPr>
          <w:rFonts w:hint="eastAsia"/>
        </w:rPr>
        <w:t>令和7年9月12日20250909貿局第1号</w:t>
      </w:r>
    </w:p>
    <w:p>
      <w:pPr>
        <w:autoSpaceDN w:val="0"/>
      </w:pPr>
    </w:p>
    <w:p>
      <w:pPr>
        <w:autoSpaceDN w:val="0"/>
      </w:pPr>
      <w:r>
        <w:rPr>
          <w:rFonts w:hint="eastAsia"/>
        </w:rPr>
        <w:t>財務省関税局長　殿</w:t>
      </w:r>
    </w:p>
    <w:p>
      <w:pPr>
        <w:autoSpaceDN w:val="0"/>
      </w:pPr>
    </w:p>
    <w:p>
      <w:pPr>
        <w:autoSpaceDN w:val="0"/>
        <w:jc w:val="right"/>
      </w:pPr>
      <w:r>
        <w:rPr>
          <w:rFonts w:hint="eastAsia"/>
        </w:rPr>
        <w:t>経済産業省貿易経済協力局長</w:t>
      </w:r>
    </w:p>
    <w:p>
      <w:pPr>
        <w:autoSpaceDN w:val="0"/>
      </w:pPr>
    </w:p>
    <w:p>
      <w:pPr>
        <w:autoSpaceDN w:val="0"/>
        <w:jc w:val="center"/>
        <w:rPr>
          <w:rFonts w:hint="eastAsia"/>
        </w:rPr>
      </w:pPr>
      <w:r>
        <w:rPr>
          <w:rFonts w:hint="eastAsia"/>
        </w:rPr>
        <w:t>上限価格を超える価格で取引されるロシアを原産地とする原油</w:t>
      </w:r>
    </w:p>
    <w:p>
      <w:pPr>
        <w:autoSpaceDN w:val="0"/>
        <w:ind w:leftChars="600"/>
        <w:jc w:val="both"/>
      </w:pPr>
      <w:r>
        <w:rPr>
          <w:rFonts w:hint="eastAsia"/>
        </w:rPr>
        <w:t>の輸入に係る当該上限価格引下げ措置について</w:t>
      </w:r>
    </w:p>
    <w:p>
      <w:pPr>
        <w:autoSpaceDN w:val="0"/>
        <w:jc w:val="center"/>
      </w:pPr>
    </w:p>
    <w:p>
      <w:pPr>
        <w:autoSpaceDN w:val="0"/>
        <w:ind w:firstLine="210" w:firstLineChars="100"/>
      </w:pPr>
      <w:r>
        <w:rPr>
          <w:rFonts w:hint="eastAsia"/>
        </w:rPr>
        <w:t>上記の件について、別紙のとおり告示されることになるため、税関においても本改正の趣旨を踏まえ当省と連携の上、御対応方よろしくお願いいたします。</w:t>
      </w:r>
    </w:p>
    <w:p>
      <w:pPr>
        <w:autoSpaceDN w:val="0"/>
        <w:ind w:firstLine="210" w:firstLineChars="100"/>
        <w:sectPr>
          <w:pgSz w:w="11906" w:h="16838"/>
          <w:pgMar w:top="1985" w:right="1701" w:bottom="1701" w:left="1701" w:header="851" w:footer="992" w:gutter="0"/>
          <w:pgBorders>
            <w:top w:val="none" w:color="auto" w:sz="0" w:space="0"/>
            <w:left w:val="none" w:color="auto" w:sz="0" w:space="0"/>
            <w:bottom w:val="none" w:color="auto" w:sz="0" w:space="0"/>
            <w:right w:val="none" w:color="auto" w:sz="0" w:space="0"/>
          </w:pgBorders>
          <w:cols w:space="720" w:num="1"/>
          <w:docGrid w:type="lines" w:linePitch="360" w:charSpace="0"/>
        </w:sectPr>
      </w:pPr>
    </w:p>
    <w:p>
      <w:r>
        <w:rPr>
          <w:rFonts w:hint="eastAsia" w:ascii="Century" w:hAnsi="Century" w:eastAsia="ＭＳ 明朝" w:cs="Times New Roman"/>
          <w:kern w:val="2"/>
          <w:sz w:val="21"/>
          <w:szCs w:val="22"/>
          <w:lang w:val="en-US" w:eastAsia="ja-JP" w:bidi="ar-SA"/>
        </w:rPr>
        <w:pict>
          <v:rect id="テキスト ボックス 1" o:spid="_x0000_s1026" style="position:absolute;left:0;margin-left:-35.55pt;margin-top:-28.35pt;height:47.95pt;width:32.3pt;rotation:0f;z-index:251658240;" o:ole="f" fillcolor="#FFFFFF" filled="t" o:preferrelative="t" stroked="f" coordsize="21600,21600">
            <v:imagedata gain="65536f" blacklevel="0f" gamma="0"/>
            <o:lock v:ext="edit" position="f" selection="f" grouping="f" rotation="f" cropping="f" text="f" aspectratio="f"/>
            <v:textbox style="layout-flow:vertical;mso-layout-flow-alt:bottom-to-top;">
              <w:txbxContent>
                <w:p>
                  <w:r>
                    <w:rPr>
                      <w:rFonts w:hint="eastAsia"/>
                    </w:rPr>
                    <w:t>（別紙）</w:t>
                  </w:r>
                </w:p>
              </w:txbxContent>
            </v:textbox>
          </v:rect>
        </w:pict>
      </w:r>
      <w:r>
        <w:rPr>
          <w:rFonts w:hint="eastAsia"/>
        </w:rPr>
        <w:t xml:space="preserve">○経済産業省告示第百三十一号 </w:t>
      </w:r>
    </w:p>
    <w:p>
      <w:pPr>
        <w:ind w:firstLine="210" w:firstLineChars="100"/>
      </w:pPr>
      <w:r>
        <w:rPr>
          <w:rFonts w:hint="eastAsia"/>
        </w:rPr>
        <w:t>輸入貿易管理令（昭和二十四年政令第四百十四号）第三条第一項の規定に基づき、昭和四十一年通商産業省告示第百七十号（輸入割当てを受けるべき貨物の品目、輸入の承認を受けるべき貨物の原産地又は船積地域その他貨物の輸入について必要な事項の公表）の一部を次の表のように改正し、公布の日から施行する。</w:t>
      </w:r>
    </w:p>
    <w:p>
      <w:pPr>
        <w:ind w:left="420" w:leftChars="200"/>
      </w:pPr>
      <w:r>
        <w:rPr>
          <w:rFonts w:hint="eastAsia"/>
        </w:rPr>
        <w:t xml:space="preserve">令和七年九月十二日 </w:t>
      </w:r>
      <w:r>
        <w:tab/>
      </w:r>
      <w:r>
        <w:tab/>
      </w:r>
      <w:r>
        <w:tab/>
      </w:r>
      <w:r>
        <w:tab/>
      </w:r>
      <w:r>
        <w:tab/>
      </w:r>
      <w:r>
        <w:tab/>
      </w:r>
      <w:r>
        <w:tab/>
      </w:r>
      <w:r>
        <w:tab/>
      </w:r>
      <w:r>
        <w:tab/>
      </w:r>
      <w:r>
        <w:rPr>
          <w:rFonts w:hint="eastAsia"/>
        </w:rPr>
        <w:t>経済産業大臣　武藤</w:t>
      </w:r>
      <w:r>
        <w:rPr>
          <w:rFonts w:hint="eastAsia"/>
          <w:lang w:eastAsia="ja-JP"/>
        </w:rPr>
        <w:t>　</w:t>
      </w:r>
      <w:r>
        <w:rPr>
          <w:rFonts w:hint="eastAsia"/>
        </w:rPr>
        <w:t>容治</w:t>
      </w:r>
    </w:p>
    <w:tbl>
      <w:tblPr>
        <w:tblStyle w:val="9"/>
        <w:tblW w:w="13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42" w:type="dxa"/>
        </w:tblCellMar>
      </w:tblPr>
      <w:tblGrid>
        <w:gridCol w:w="6516"/>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42" w:type="dxa"/>
          </w:tblCellMar>
        </w:tblPrEx>
        <w:tc>
          <w:tcPr>
            <w:tcW w:w="6516" w:type="dxa"/>
            <w:tcBorders>
              <w:bottom w:val="single" w:color="auto" w:sz="4" w:space="0"/>
            </w:tcBorders>
            <w:textDirection w:val="lrTbV"/>
            <w:vAlign w:val="top"/>
          </w:tcPr>
          <w:p>
            <w:pPr>
              <w:jc w:val="center"/>
            </w:pPr>
            <w:r>
              <w:rPr>
                <w:rFonts w:hint="eastAsia"/>
              </w:rPr>
              <w:t>改正案</w:t>
            </w:r>
          </w:p>
        </w:tc>
        <w:tc>
          <w:tcPr>
            <w:tcW w:w="6520" w:type="dxa"/>
            <w:tcBorders>
              <w:bottom w:val="single" w:color="auto" w:sz="4" w:space="0"/>
            </w:tcBorders>
            <w:textDirection w:val="lrTbV"/>
            <w:vAlign w:val="top"/>
          </w:tcPr>
          <w:p>
            <w:pPr>
              <w:jc w:val="center"/>
            </w:pPr>
            <w:r>
              <w:rPr>
                <w:rFonts w:hint="eastAsia"/>
              </w:rPr>
              <w:t>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42" w:type="dxa"/>
          </w:tblCellMar>
        </w:tblPrEx>
        <w:trPr>
          <w:cantSplit/>
          <w:trHeight w:val="1815" w:hRule="atLeast"/>
        </w:trPr>
        <w:tc>
          <w:tcPr>
            <w:tcW w:w="6516" w:type="dxa"/>
            <w:tcBorders>
              <w:bottom w:val="nil"/>
            </w:tcBorders>
            <w:textDirection w:val="lrTbV"/>
            <w:vAlign w:val="top"/>
          </w:tcPr>
          <w:p>
            <w:pPr>
              <w:ind w:left="210" w:hanging="210" w:hangingChars="100"/>
            </w:pPr>
            <w:r>
              <w:rPr>
                <w:rFonts w:hint="eastAsia"/>
              </w:rPr>
              <w:t>二　輸入貿易管理令（以下「令」という。）第四条第一項第二号の規定による輸入の承認（全地域を原産地又は船積地域とする貨物の輸入に係る承認を除く。以下「二号承認」という。）を受けるべき場合は、次の表の第一に掲げる貨物及び同表の第二に掲げる貨物を輸入するときとする。</w:t>
            </w:r>
          </w:p>
        </w:tc>
        <w:tc>
          <w:tcPr>
            <w:tcW w:w="6520" w:type="dxa"/>
            <w:tcBorders>
              <w:bottom w:val="nil"/>
            </w:tcBorders>
            <w:textDirection w:val="lrTbV"/>
            <w:vAlign w:val="top"/>
          </w:tcPr>
          <w:p>
            <w:pPr>
              <w:ind w:left="210" w:hanging="210" w:hangingChars="100"/>
            </w:pPr>
            <w:r>
              <w:rPr>
                <w:rFonts w:hint="eastAsia"/>
              </w:rPr>
              <w:t>二　輸入貿易管理令（以下「令」という。）第四条第一項第二号の規定による輸入の承認（全地域を原産地又は船積地域とする貨物の輸入に係る承認を除く。以下「二号承認」という。）を受けるべき場合は、次の表の第一に掲げる貨物及び同表の第二に掲げる貨物を輸入するときとす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42" w:type="dxa"/>
          </w:tblCellMar>
        </w:tblPrEx>
        <w:tc>
          <w:tcPr>
            <w:tcW w:w="6516" w:type="dxa"/>
            <w:tcBorders>
              <w:top w:val="nil"/>
              <w:bottom w:val="nil"/>
            </w:tcBorders>
            <w:tcMar>
              <w:right w:w="0" w:type="dxa"/>
            </w:tcMar>
            <w:textDirection w:val="lrTbV"/>
            <w:vAlign w:val="top"/>
          </w:tcPr>
          <w:p>
            <w:pPr>
              <w:ind w:left="210" w:hanging="210" w:hangingChars="100"/>
            </w:pPr>
            <w:r>
              <w:rPr>
                <w:rFonts w:hint="eastAsia"/>
              </w:rPr>
              <w:t>三　その他貨物の輸入に関する事項は、次のとおりとし、令第四条第一項第三号の規定による輸入の承認を受けるべき場合は、６から８までの貨物を輸入するときとし、同号の規定による輸入の承認を要しないものとする同条第二項の規定により行うべき手続は、６の貨物を輸入する場合においての６の⑴から⑸までの区分に応じそれぞれに定める大臣の確認、７の貨物を輸入する場合においての経済産業大臣の確認又は８の貨物を輸入する場合においての８の⑴ から⑽までの区分に応じそれぞれに定める書類の税関への提出とする。</w:t>
            </w:r>
          </w:p>
          <w:p>
            <w:pPr>
              <w:ind w:left="420" w:leftChars="100" w:hanging="210" w:hangingChars="100"/>
            </w:pPr>
            <w:r>
              <w:rPr>
                <w:rFonts w:hint="eastAsia"/>
              </w:rPr>
              <w:t>１～６　［略］</w:t>
            </w:r>
          </w:p>
          <w:p>
            <w:pPr>
              <w:ind w:left="420" w:leftChars="100" w:hanging="210" w:hangingChars="100"/>
            </w:pPr>
            <w:r>
              <w:rPr>
                <w:rFonts w:hint="eastAsia"/>
              </w:rPr>
              <w:t>７⑴～⑻　［略］</w:t>
            </w:r>
          </w:p>
          <w:p>
            <w:pPr>
              <w:ind w:left="420" w:leftChars="100" w:hanging="210" w:hangingChars="100"/>
            </w:pPr>
            <w:r>
              <w:rPr>
                <w:rFonts w:hint="eastAsia"/>
              </w:rPr>
              <w:t>⑼　次の表の上欄に掲げる国を原産地とする下欄に掲げる貨物を輸入しようとする者は、別に定めるところにより、経済産業大臣の確認を受けなければならない。</w:t>
            </w:r>
          </w:p>
          <w:tbl>
            <w:tblPr>
              <w:tblStyle w:val="9"/>
              <w:tblW w:w="6666"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279"/>
              <w:gridCol w:w="3127"/>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textDirection w:val="lrTbV"/>
                  <w:vAlign w:val="top"/>
                </w:tcPr>
                <w:p>
                  <w:pPr>
                    <w:jc w:val="center"/>
                  </w:pPr>
                  <w:r>
                    <w:rPr>
                      <w:rFonts w:hint="eastAsia"/>
                    </w:rPr>
                    <w:t>国</w:t>
                  </w:r>
                </w:p>
              </w:tc>
              <w:tc>
                <w:tcPr>
                  <w:tcW w:w="4406" w:type="dxa"/>
                  <w:gridSpan w:val="2"/>
                  <w:textDirection w:val="lrTbV"/>
                  <w:vAlign w:val="top"/>
                </w:tcPr>
                <w:p>
                  <w:pPr>
                    <w:jc w:val="center"/>
                  </w:pPr>
                  <w:r>
                    <w:rPr>
                      <w:rFonts w:hint="eastAsia"/>
                    </w:rPr>
                    <w:t>貨　　　物</w:t>
                  </w:r>
                </w:p>
              </w:tc>
              <w:tc>
                <w:tcPr>
                  <w:tcW w:w="713" w:type="dxa"/>
                  <w:tcBorders>
                    <w:top w:val="nil"/>
                    <w:bottom w:val="nil"/>
                    <w:right w:val="nil"/>
                  </w:tcBorders>
                  <w:textDirection w:val="lrTbV"/>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tcBorders>
                    <w:bottom w:val="single" w:color="auto" w:sz="4" w:space="0"/>
                  </w:tcBorders>
                  <w:textDirection w:val="lrTbV"/>
                  <w:vAlign w:val="top"/>
                </w:tcPr>
                <w:p/>
              </w:tc>
              <w:tc>
                <w:tcPr>
                  <w:tcW w:w="1279" w:type="dxa"/>
                  <w:tcBorders>
                    <w:bottom w:val="single" w:color="auto" w:sz="4" w:space="0"/>
                  </w:tcBorders>
                  <w:textDirection w:val="lrTbV"/>
                  <w:vAlign w:val="top"/>
                </w:tcPr>
                <w:p>
                  <w:r>
                    <w:rPr>
                      <w:rFonts w:hint="eastAsia"/>
                    </w:rPr>
                    <w:t>関税率表の番号等</w:t>
                  </w:r>
                </w:p>
              </w:tc>
              <w:tc>
                <w:tcPr>
                  <w:tcW w:w="3127" w:type="dxa"/>
                  <w:tcBorders>
                    <w:bottom w:val="single" w:color="auto" w:sz="4" w:space="0"/>
                  </w:tcBorders>
                  <w:textDirection w:val="lrTbV"/>
                  <w:vAlign w:val="top"/>
                </w:tcPr>
                <w:p>
                  <w:pPr>
                    <w:jc w:val="center"/>
                  </w:pPr>
                  <w:r>
                    <w:rPr>
                      <w:rFonts w:hint="eastAsia"/>
                      <w:spacing w:val="105"/>
                      <w:kern w:val="0"/>
                      <w:fitText w:val="1050" w:id="0"/>
                    </w:rPr>
                    <w:t>貨物</w:t>
                  </w:r>
                  <w:r>
                    <w:rPr>
                      <w:rFonts w:hint="eastAsia"/>
                      <w:kern w:val="0"/>
                      <w:fitText w:val="1050" w:id="0"/>
                    </w:rPr>
                    <w:t>名</w:t>
                  </w:r>
                </w:p>
              </w:tc>
              <w:tc>
                <w:tcPr>
                  <w:tcW w:w="713" w:type="dxa"/>
                  <w:tcBorders>
                    <w:top w:val="nil"/>
                    <w:bottom w:val="nil"/>
                    <w:right w:val="nil"/>
                  </w:tcBorders>
                  <w:textDirection w:val="lrTbV"/>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restart"/>
                  <w:tcBorders>
                    <w:bottom w:val="nil"/>
                  </w:tcBorders>
                  <w:textDirection w:val="lrTbV"/>
                  <w:vAlign w:val="top"/>
                </w:tcPr>
                <w:p>
                  <w:r>
                    <w:rPr>
                      <w:rFonts w:hint="eastAsia"/>
                    </w:rPr>
                    <w:t>ロシア</w:t>
                  </w:r>
                </w:p>
              </w:tc>
              <w:tc>
                <w:tcPr>
                  <w:tcW w:w="1279" w:type="dxa"/>
                  <w:vMerge w:val="restart"/>
                  <w:tcBorders>
                    <w:top w:val="single" w:color="auto" w:sz="4" w:space="0"/>
                    <w:bottom w:val="nil"/>
                  </w:tcBorders>
                  <w:textDirection w:val="lrTbV"/>
                  <w:vAlign w:val="top"/>
                </w:tcPr>
                <w:p>
                  <w:r>
                    <w:rPr>
                      <w:rFonts w:hint="eastAsia"/>
                    </w:rPr>
                    <w:t>二七・〇九</w:t>
                  </w:r>
                </w:p>
              </w:tc>
              <w:tc>
                <w:tcPr>
                  <w:tcW w:w="3127" w:type="dxa"/>
                  <w:tcBorders>
                    <w:top w:val="single" w:color="auto" w:sz="4" w:space="0"/>
                    <w:bottom w:val="nil"/>
                  </w:tcBorders>
                  <w:textDirection w:val="lrTbV"/>
                  <w:vAlign w:val="top"/>
                </w:tcPr>
                <w:p>
                  <w:r>
                    <w:rPr>
                      <w:rFonts w:hint="eastAsia"/>
                    </w:rPr>
                    <w:t>原油であって、次のいずれかに該当するもの</w:t>
                  </w:r>
                </w:p>
              </w:tc>
              <w:tc>
                <w:tcPr>
                  <w:tcW w:w="713" w:type="dxa"/>
                  <w:tcBorders>
                    <w:top w:val="nil"/>
                    <w:bottom w:val="nil"/>
                    <w:right w:val="nil"/>
                  </w:tcBorders>
                  <w:textDirection w:val="lrTbV"/>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continue"/>
                  <w:tcBorders>
                    <w:top w:val="nil"/>
                    <w:bottom w:val="nil"/>
                  </w:tcBorders>
                  <w:textDirection w:val="lrTbV"/>
                  <w:vAlign w:val="top"/>
                </w:tcPr>
                <w:p/>
              </w:tc>
              <w:tc>
                <w:tcPr>
                  <w:tcW w:w="1279" w:type="dxa"/>
                  <w:vMerge w:val="continue"/>
                  <w:tcBorders>
                    <w:top w:val="nil"/>
                    <w:bottom w:val="nil"/>
                  </w:tcBorders>
                  <w:textDirection w:val="lrTbV"/>
                  <w:vAlign w:val="top"/>
                </w:tcPr>
                <w:p/>
              </w:tc>
              <w:tc>
                <w:tcPr>
                  <w:tcW w:w="3127" w:type="dxa"/>
                  <w:tcBorders>
                    <w:top w:val="nil"/>
                    <w:bottom w:val="nil"/>
                  </w:tcBorders>
                  <w:textDirection w:val="lrTbV"/>
                  <w:vAlign w:val="top"/>
                </w:tcPr>
                <w:p>
                  <w:pPr>
                    <w:ind w:left="420" w:leftChars="100" w:hanging="210" w:hangingChars="100"/>
                  </w:pPr>
                  <w:r>
                    <w:rPr>
                      <w:rFonts w:hint="eastAsia"/>
                    </w:rPr>
                    <w:t>イ　その価格が、ウクライナをめぐる現下の国際情勢に鑑み、ウクライナをめぐる問題の解決を目指す国際平和のための国際的な努力に我が国として寄与するため、主要国が講ずることとした措置の内容に沿って、我が国が講ずる輸入等に係る禁止措置の対象となるロシア連邦を原産地とする原油及び石油製品の上限価格を定める件（令和四年外務省告示第四〇四号。</w:t>
                  </w:r>
                  <w:r>
                    <w:rPr>
                      <w:rFonts w:hint="eastAsia"/>
                      <w:u w:val="single" w:color="auto"/>
                    </w:rPr>
                    <w:t>ロにおいて</w:t>
                  </w:r>
                  <w:r>
                    <w:rPr>
                      <w:rFonts w:hint="eastAsia"/>
                    </w:rPr>
                    <w:t>「上限価格を定める外務省告示」という。）別表１に定める原油の価格</w:t>
                  </w:r>
                  <w:r>
                    <w:rPr>
                      <w:rFonts w:hint="eastAsia"/>
                      <w:u w:val="single" w:color="auto"/>
                    </w:rPr>
                    <w:t>（ロにおいて「原油の上限価格」という。）</w:t>
                  </w:r>
                  <w:r>
                    <w:rPr>
                      <w:rFonts w:hint="eastAsia"/>
                    </w:rPr>
                    <w:t>以下のもの</w:t>
                  </w:r>
                </w:p>
              </w:tc>
              <w:tc>
                <w:tcPr>
                  <w:tcW w:w="713" w:type="dxa"/>
                  <w:tcBorders>
                    <w:top w:val="nil"/>
                    <w:bottom w:val="nil"/>
                    <w:right w:val="nil"/>
                  </w:tcBorders>
                  <w:textDirection w:val="lrTbV"/>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continue"/>
                  <w:tcBorders>
                    <w:top w:val="nil"/>
                    <w:bottom w:val="nil"/>
                  </w:tcBorders>
                  <w:textDirection w:val="lrTbV"/>
                  <w:vAlign w:val="top"/>
                </w:tcPr>
                <w:p/>
              </w:tc>
              <w:tc>
                <w:tcPr>
                  <w:tcW w:w="1279" w:type="dxa"/>
                  <w:vMerge w:val="continue"/>
                  <w:tcBorders>
                    <w:top w:val="nil"/>
                    <w:bottom w:val="nil"/>
                  </w:tcBorders>
                  <w:textDirection w:val="lrTbV"/>
                  <w:vAlign w:val="top"/>
                </w:tcPr>
                <w:p/>
              </w:tc>
              <w:tc>
                <w:tcPr>
                  <w:tcW w:w="3127" w:type="dxa"/>
                  <w:tcBorders>
                    <w:top w:val="nil"/>
                    <w:bottom w:val="nil"/>
                  </w:tcBorders>
                  <w:textDirection w:val="lrTbV"/>
                  <w:vAlign w:val="top"/>
                </w:tcPr>
                <w:p>
                  <w:pPr>
                    <w:ind w:left="420" w:leftChars="100" w:hanging="210" w:hangingChars="100"/>
                  </w:pPr>
                  <w:r>
                    <w:rPr>
                      <w:rFonts w:hint="eastAsia"/>
                      <w:u w:val="single" w:color="auto"/>
                    </w:rPr>
                    <w:t>ロ</w:t>
                  </w:r>
                  <w:r>
                    <w:rPr>
                      <w:rFonts w:hint="eastAsia"/>
                    </w:rPr>
                    <w:t>　</w:t>
                  </w:r>
                  <w:r>
                    <w:rPr>
                      <w:rFonts w:hint="eastAsia"/>
                      <w:u w:val="single"/>
                    </w:rPr>
                    <w:t>上限価格を定める外務省告示の改正により、上限価格を定める外務省告示別表１に定める原油の上限価格を引き下げた場合における当該改正の日の前日において上限価格を定める外務省告示別表１に定められている上限価格以下のもの（イに掲げるものを除く。）であって、令和七年十月十七日までに本邦において船卸しをするもの</w:t>
                  </w:r>
                </w:p>
              </w:tc>
              <w:tc>
                <w:tcPr>
                  <w:tcW w:w="713" w:type="dxa"/>
                  <w:tcBorders>
                    <w:top w:val="nil"/>
                    <w:bottom w:val="nil"/>
                    <w:right w:val="nil"/>
                  </w:tcBorders>
                  <w:textDirection w:val="lrTbV"/>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tcBorders>
                    <w:top w:val="nil"/>
                    <w:bottom w:val="nil"/>
                    <w:right w:val="single" w:color="auto" w:sz="4" w:space="0"/>
                  </w:tcBorders>
                  <w:textDirection w:val="lrTbV"/>
                  <w:vAlign w:val="top"/>
                </w:tcPr>
                <w:p/>
              </w:tc>
              <w:tc>
                <w:tcPr>
                  <w:tcW w:w="1279" w:type="dxa"/>
                  <w:tcBorders>
                    <w:top w:val="nil"/>
                    <w:left w:val="single" w:color="auto" w:sz="4" w:space="0"/>
                    <w:bottom w:val="nil"/>
                  </w:tcBorders>
                  <w:textDirection w:val="lrTbV"/>
                  <w:vAlign w:val="top"/>
                </w:tcPr>
                <w:p/>
              </w:tc>
              <w:tc>
                <w:tcPr>
                  <w:tcW w:w="3127" w:type="dxa"/>
                  <w:tcBorders>
                    <w:top w:val="nil"/>
                    <w:bottom w:val="nil"/>
                  </w:tcBorders>
                  <w:textDirection w:val="lrTbV"/>
                  <w:vAlign w:val="top"/>
                </w:tcPr>
                <w:p>
                  <w:pPr>
                    <w:ind w:left="420" w:leftChars="100" w:hanging="210" w:hangingChars="100"/>
                    <w:rPr>
                      <w:rFonts w:hint="eastAsia"/>
                    </w:rPr>
                  </w:pPr>
                  <w:r>
                    <w:rPr>
                      <w:rFonts w:hint="eastAsia"/>
                      <w:u w:val="single" w:color="auto"/>
                      <w:lang w:eastAsia="ja-JP"/>
                    </w:rPr>
                    <w:t>ハ</w:t>
                  </w:r>
                  <w:r>
                    <w:rPr>
                      <w:rFonts w:hint="eastAsia"/>
                    </w:rPr>
                    <w:t>　［略］</w:t>
                  </w:r>
                </w:p>
              </w:tc>
              <w:tc>
                <w:tcPr>
                  <w:tcW w:w="713" w:type="dxa"/>
                  <w:tcBorders>
                    <w:top w:val="nil"/>
                    <w:bottom w:val="nil"/>
                    <w:right w:val="nil"/>
                  </w:tcBorders>
                  <w:textDirection w:val="lrTbV"/>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tcBorders>
                    <w:top w:val="nil"/>
                    <w:bottom w:val="single" w:color="auto" w:sz="4" w:space="0"/>
                    <w:right w:val="single" w:color="auto" w:sz="4" w:space="0"/>
                  </w:tcBorders>
                  <w:textDirection w:val="lrTbV"/>
                  <w:vAlign w:val="top"/>
                </w:tcPr>
                <w:p>
                  <w:r>
                    <w:rPr>
                      <w:rFonts w:hint="default"/>
                    </w:rPr>
                    <w:t>（略）</w:t>
                  </w:r>
                </w:p>
              </w:tc>
              <w:tc>
                <w:tcPr>
                  <w:tcW w:w="1279" w:type="dxa"/>
                  <w:tcBorders>
                    <w:top w:val="nil"/>
                    <w:left w:val="single" w:color="auto" w:sz="4" w:space="0"/>
                    <w:bottom w:val="single" w:color="auto" w:sz="4" w:space="0"/>
                  </w:tcBorders>
                  <w:textDirection w:val="lrTbV"/>
                  <w:vAlign w:val="top"/>
                </w:tcPr>
                <w:p>
                  <w:pPr>
                    <w:rPr>
                      <w:u w:val="double"/>
                    </w:rPr>
                  </w:pPr>
                  <w:r>
                    <w:rPr>
                      <w:rFonts w:hint="default"/>
                    </w:rPr>
                    <w:t>（略）</w:t>
                  </w:r>
                </w:p>
              </w:tc>
              <w:tc>
                <w:tcPr>
                  <w:tcW w:w="3127" w:type="dxa"/>
                  <w:tcBorders>
                    <w:top w:val="nil"/>
                    <w:bottom w:val="single" w:color="auto" w:sz="4" w:space="0"/>
                  </w:tcBorders>
                  <w:textDirection w:val="lrTbV"/>
                  <w:vAlign w:val="top"/>
                </w:tcPr>
                <w:p>
                  <w:pPr>
                    <w:rPr>
                      <w:u w:val="double"/>
                    </w:rPr>
                  </w:pPr>
                  <w:r>
                    <w:rPr>
                      <w:rFonts w:hint="default"/>
                    </w:rPr>
                    <w:t>（略）</w:t>
                  </w:r>
                </w:p>
              </w:tc>
              <w:tc>
                <w:tcPr>
                  <w:tcW w:w="713" w:type="dxa"/>
                  <w:tcBorders>
                    <w:top w:val="nil"/>
                    <w:bottom w:val="nil"/>
                    <w:right w:val="nil"/>
                  </w:tcBorders>
                  <w:textDirection w:val="lrTbV"/>
                  <w:vAlign w:val="top"/>
                </w:tcPr>
                <w:p/>
              </w:tc>
            </w:tr>
          </w:tbl>
          <w:p>
            <w:pPr>
              <w:ind w:left="420" w:leftChars="100" w:hanging="210" w:hangingChars="100"/>
            </w:pPr>
          </w:p>
        </w:tc>
        <w:tc>
          <w:tcPr>
            <w:tcW w:w="6520" w:type="dxa"/>
            <w:tcBorders>
              <w:top w:val="nil"/>
              <w:bottom w:val="nil"/>
            </w:tcBorders>
            <w:tcMar>
              <w:right w:w="0" w:type="dxa"/>
            </w:tcMar>
            <w:textDirection w:val="lrTbV"/>
            <w:vAlign w:val="top"/>
          </w:tcPr>
          <w:p>
            <w:pPr>
              <w:ind w:left="210" w:hanging="210" w:hangingChars="100"/>
            </w:pPr>
            <w:r>
              <w:rPr>
                <w:rFonts w:hint="eastAsia"/>
              </w:rPr>
              <w:t>三　その他貨物の輸入に関する事項は、次のとおりとし、令第四条第一項第三号の規定による輸入の承認を受けるべき場合は、６から８までの貨物を輸入するときとし、同号の規定による輸入の承認を要しないものとする同条第二項の規定により行うべき手続は、６の貨物を輸入する場合においての６の⑴から⑸までの区分に応じそれぞれに定める大臣の確認、７の貨物を輸入する場合においての経済産業大臣の確認又は８の貨物を輸入する場合においての８の⑴ から⑽までの区分に応じそれぞれに定める書類の税関への提出とする。</w:t>
            </w:r>
          </w:p>
          <w:p>
            <w:pPr>
              <w:ind w:left="420" w:leftChars="100" w:hanging="210" w:hangingChars="100"/>
            </w:pPr>
            <w:r>
              <w:rPr>
                <w:rFonts w:hint="eastAsia"/>
              </w:rPr>
              <w:t>１～６　［略］</w:t>
            </w:r>
          </w:p>
          <w:p>
            <w:pPr>
              <w:ind w:left="420" w:leftChars="100" w:hanging="210" w:hangingChars="100"/>
            </w:pPr>
            <w:r>
              <w:rPr>
                <w:rFonts w:hint="eastAsia"/>
              </w:rPr>
              <w:t>７⑴～⑻　［略］</w:t>
            </w:r>
          </w:p>
          <w:p>
            <w:pPr>
              <w:ind w:left="420" w:leftChars="100" w:hanging="210" w:hangingChars="100"/>
            </w:pPr>
            <w:r>
              <w:rPr>
                <w:rFonts w:hint="eastAsia"/>
              </w:rPr>
              <w:t>⑼　次の表の上欄に掲げる国を原産地とする下欄に掲げる貨物を輸入しようとする者は、別に定めるところにより、経済産業大臣の確認を受けなければならない。</w:t>
            </w:r>
          </w:p>
          <w:tbl>
            <w:tblPr>
              <w:tblStyle w:val="9"/>
              <w:tblW w:w="6666"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279"/>
              <w:gridCol w:w="3127"/>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textDirection w:val="lrTbV"/>
                  <w:vAlign w:val="top"/>
                </w:tcPr>
                <w:p>
                  <w:pPr>
                    <w:jc w:val="center"/>
                  </w:pPr>
                  <w:r>
                    <w:rPr>
                      <w:rFonts w:hint="eastAsia"/>
                    </w:rPr>
                    <w:t>国</w:t>
                  </w:r>
                </w:p>
              </w:tc>
              <w:tc>
                <w:tcPr>
                  <w:tcW w:w="4406" w:type="dxa"/>
                  <w:gridSpan w:val="2"/>
                  <w:textDirection w:val="lrTbV"/>
                  <w:vAlign w:val="top"/>
                </w:tcPr>
                <w:p>
                  <w:pPr>
                    <w:jc w:val="center"/>
                  </w:pPr>
                  <w:r>
                    <w:rPr>
                      <w:rFonts w:hint="eastAsia"/>
                    </w:rPr>
                    <w:t>貨　　　物</w:t>
                  </w:r>
                </w:p>
              </w:tc>
              <w:tc>
                <w:tcPr>
                  <w:tcW w:w="713" w:type="dxa"/>
                  <w:tcBorders>
                    <w:top w:val="nil"/>
                    <w:bottom w:val="nil"/>
                    <w:right w:val="nil"/>
                  </w:tcBorders>
                  <w:textDirection w:val="lrTbV"/>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tcBorders>
                    <w:bottom w:val="single" w:color="auto" w:sz="4" w:space="0"/>
                  </w:tcBorders>
                  <w:textDirection w:val="lrTbV"/>
                  <w:vAlign w:val="top"/>
                </w:tcPr>
                <w:p>
                  <w:bookmarkStart w:id="0" w:name="_GoBack" w:colFirst="1" w:colLast="2"/>
                </w:p>
              </w:tc>
              <w:tc>
                <w:tcPr>
                  <w:tcW w:w="1279" w:type="dxa"/>
                  <w:tcBorders>
                    <w:bottom w:val="single" w:color="auto" w:sz="4" w:space="0"/>
                  </w:tcBorders>
                  <w:textDirection w:val="lrTbV"/>
                  <w:vAlign w:val="top"/>
                </w:tcPr>
                <w:p>
                  <w:r>
                    <w:rPr>
                      <w:rFonts w:hint="eastAsia"/>
                    </w:rPr>
                    <w:t>関税率表の番号等</w:t>
                  </w:r>
                </w:p>
              </w:tc>
              <w:tc>
                <w:tcPr>
                  <w:tcW w:w="3127" w:type="dxa"/>
                  <w:tcBorders>
                    <w:bottom w:val="single" w:color="auto" w:sz="4" w:space="0"/>
                  </w:tcBorders>
                  <w:textDirection w:val="lrTbV"/>
                  <w:vAlign w:val="top"/>
                </w:tcPr>
                <w:p>
                  <w:pPr>
                    <w:jc w:val="center"/>
                  </w:pPr>
                  <w:r>
                    <w:rPr>
                      <w:rFonts w:hint="eastAsia"/>
                      <w:spacing w:val="105"/>
                      <w:kern w:val="0"/>
                      <w:fitText w:val="1050" w:id="1"/>
                    </w:rPr>
                    <w:t>貨物</w:t>
                  </w:r>
                  <w:r>
                    <w:rPr>
                      <w:rFonts w:hint="eastAsia"/>
                      <w:kern w:val="0"/>
                      <w:fitText w:val="1050" w:id="1"/>
                    </w:rPr>
                    <w:t>名</w:t>
                  </w:r>
                </w:p>
              </w:tc>
              <w:tc>
                <w:tcPr>
                  <w:tcW w:w="713" w:type="dxa"/>
                  <w:tcBorders>
                    <w:top w:val="nil"/>
                    <w:bottom w:val="nil"/>
                    <w:right w:val="nil"/>
                  </w:tcBorders>
                  <w:textDirection w:val="lrTbV"/>
                  <w:vAlign w:val="top"/>
                </w:tc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restart"/>
                  <w:tcBorders>
                    <w:bottom w:val="nil"/>
                  </w:tcBorders>
                  <w:textDirection w:val="lrTbV"/>
                  <w:vAlign w:val="top"/>
                </w:tcPr>
                <w:p>
                  <w:r>
                    <w:rPr>
                      <w:rFonts w:hint="eastAsia"/>
                    </w:rPr>
                    <w:t>ロシア</w:t>
                  </w:r>
                </w:p>
              </w:tc>
              <w:tc>
                <w:tcPr>
                  <w:tcW w:w="1279" w:type="dxa"/>
                  <w:vMerge w:val="restart"/>
                  <w:tcBorders>
                    <w:top w:val="single" w:color="auto" w:sz="4" w:space="0"/>
                    <w:bottom w:val="nil"/>
                  </w:tcBorders>
                  <w:textDirection w:val="lrTbV"/>
                  <w:vAlign w:val="top"/>
                </w:tcPr>
                <w:p>
                  <w:r>
                    <w:rPr>
                      <w:rFonts w:hint="eastAsia"/>
                    </w:rPr>
                    <w:t>二七・〇九</w:t>
                  </w:r>
                </w:p>
              </w:tc>
              <w:tc>
                <w:tcPr>
                  <w:tcW w:w="3127" w:type="dxa"/>
                  <w:tcBorders>
                    <w:top w:val="single" w:color="auto" w:sz="4" w:space="0"/>
                    <w:bottom w:val="nil"/>
                  </w:tcBorders>
                  <w:textDirection w:val="lrTbV"/>
                  <w:vAlign w:val="top"/>
                </w:tcPr>
                <w:p>
                  <w:r>
                    <w:rPr>
                      <w:rFonts w:hint="eastAsia"/>
                    </w:rPr>
                    <w:t>原油であって、次のいずれかに該当するもの</w:t>
                  </w:r>
                </w:p>
              </w:tc>
              <w:tc>
                <w:tcPr>
                  <w:tcW w:w="713" w:type="dxa"/>
                  <w:tcBorders>
                    <w:top w:val="nil"/>
                    <w:bottom w:val="nil"/>
                    <w:right w:val="nil"/>
                  </w:tcBorders>
                  <w:textDirection w:val="lrTbV"/>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continue"/>
                  <w:tcBorders>
                    <w:top w:val="nil"/>
                    <w:bottom w:val="nil"/>
                  </w:tcBorders>
                  <w:textDirection w:val="lrTbV"/>
                  <w:vAlign w:val="top"/>
                </w:tcPr>
                <w:p/>
              </w:tc>
              <w:tc>
                <w:tcPr>
                  <w:tcW w:w="1279" w:type="dxa"/>
                  <w:vMerge w:val="continue"/>
                  <w:tcBorders>
                    <w:top w:val="nil"/>
                    <w:bottom w:val="nil"/>
                  </w:tcBorders>
                  <w:textDirection w:val="lrTbV"/>
                  <w:vAlign w:val="top"/>
                </w:tcPr>
                <w:p/>
              </w:tc>
              <w:tc>
                <w:tcPr>
                  <w:tcW w:w="3127" w:type="dxa"/>
                  <w:tcBorders>
                    <w:top w:val="nil"/>
                    <w:bottom w:val="nil"/>
                  </w:tcBorders>
                  <w:textDirection w:val="lrTbV"/>
                  <w:vAlign w:val="top"/>
                </w:tcPr>
                <w:p>
                  <w:pPr>
                    <w:ind w:left="420" w:leftChars="100" w:hanging="210" w:hangingChars="100"/>
                    <w:rPr>
                      <w:rFonts w:hint="eastAsia"/>
                    </w:rPr>
                  </w:pPr>
                  <w:r>
                    <w:rPr>
                      <w:rFonts w:hint="eastAsia"/>
                    </w:rPr>
                    <w:t>イ　その価格が、ウクライナをめぐる現下の国際情勢に鑑み、ウクライナをめぐる問題の解決を目指す国際平和のための国際的な努力に我が国として寄与するため、主要国が講ずることとした措置の内容に沿って、我が国が講ずる輸入等に係る禁止措置の対象となるロシア連邦を原産地とする原油及び石油製品の上限価格を定める件（令和四年外務省告示第四〇四号。</w:t>
                  </w:r>
                  <w:r>
                    <w:rPr>
                      <w:rFonts w:hint="eastAsia"/>
                      <w:u w:val="single" w:color="auto"/>
                    </w:rPr>
                    <w:t>以下</w:t>
                  </w:r>
                  <w:r>
                    <w:rPr>
                      <w:rFonts w:hint="eastAsia"/>
                    </w:rPr>
                    <w:t>「上限価格を定める外務省告示」という。）別表１に定める原油の価格以下のもの</w:t>
                  </w:r>
                </w:p>
                <w:p>
                  <w:pPr>
                    <w:ind w:left="420" w:leftChars="100" w:hanging="210" w:hangingChars="100"/>
                  </w:pPr>
                </w:p>
                <w:p>
                  <w:pPr>
                    <w:ind w:left="420" w:leftChars="100" w:hanging="210" w:hangingChars="100"/>
                  </w:pPr>
                </w:p>
              </w:tc>
              <w:tc>
                <w:tcPr>
                  <w:tcW w:w="713" w:type="dxa"/>
                  <w:tcBorders>
                    <w:top w:val="nil"/>
                    <w:bottom w:val="nil"/>
                    <w:right w:val="nil"/>
                  </w:tcBorders>
                  <w:textDirection w:val="lrTbV"/>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continue"/>
                  <w:tcBorders>
                    <w:top w:val="nil"/>
                    <w:bottom w:val="nil"/>
                  </w:tcBorders>
                  <w:textDirection w:val="lrTbV"/>
                  <w:vAlign w:val="top"/>
                </w:tcPr>
                <w:p/>
              </w:tc>
              <w:tc>
                <w:tcPr>
                  <w:tcW w:w="1279" w:type="dxa"/>
                  <w:vMerge w:val="continue"/>
                  <w:tcBorders>
                    <w:top w:val="nil"/>
                    <w:bottom w:val="nil"/>
                  </w:tcBorders>
                  <w:textDirection w:val="lrTbV"/>
                  <w:vAlign w:val="top"/>
                </w:tcPr>
                <w:p/>
              </w:tc>
              <w:tc>
                <w:tcPr>
                  <w:tcW w:w="3127" w:type="dxa"/>
                  <w:tcBorders>
                    <w:top w:val="nil"/>
                    <w:bottom w:val="nil"/>
                  </w:tcBorders>
                  <w:textDirection w:val="lrTbV"/>
                  <w:vAlign w:val="top"/>
                </w:tcPr>
                <w:p>
                  <w:pPr>
                    <w:ind w:left="420" w:leftChars="100" w:hanging="210" w:hangingChars="100"/>
                    <w:rPr>
                      <w:rFonts w:hint="eastAsia"/>
                    </w:rPr>
                  </w:pPr>
                  <w:r>
                    <w:rPr>
                      <w:rFonts w:hint="eastAsia"/>
                    </w:rPr>
                    <w:t>［新設］</w:t>
                  </w:r>
                </w:p>
                <w:p>
                  <w:pPr>
                    <w:ind w:left="420" w:leftChars="100" w:hanging="210" w:hangingChars="100"/>
                    <w:rPr>
                      <w:rFonts w:hint="eastAsia"/>
                    </w:rPr>
                  </w:pPr>
                </w:p>
                <w:p>
                  <w:pPr>
                    <w:ind w:left="420" w:leftChars="100" w:hanging="210" w:hangingChars="100"/>
                    <w:rPr>
                      <w:rFonts w:hint="eastAsia"/>
                    </w:rPr>
                  </w:pPr>
                </w:p>
                <w:p>
                  <w:pPr>
                    <w:ind w:left="420" w:leftChars="100" w:hanging="210" w:hangingChars="100"/>
                    <w:rPr>
                      <w:rFonts w:hint="eastAsia"/>
                    </w:rPr>
                  </w:pPr>
                </w:p>
                <w:p>
                  <w:pPr>
                    <w:ind w:left="420" w:leftChars="100" w:hanging="210" w:hangingChars="100"/>
                    <w:rPr>
                      <w:rFonts w:hint="eastAsia"/>
                    </w:rPr>
                  </w:pPr>
                </w:p>
                <w:p>
                  <w:pPr>
                    <w:ind w:left="420" w:leftChars="100" w:hanging="210" w:hangingChars="100"/>
                    <w:rPr>
                      <w:rFonts w:hint="eastAsia"/>
                    </w:rPr>
                  </w:pPr>
                </w:p>
                <w:p>
                  <w:pPr>
                    <w:ind w:left="420" w:leftChars="100" w:hanging="210" w:hangingChars="100"/>
                    <w:rPr>
                      <w:rFonts w:hint="eastAsia"/>
                    </w:rPr>
                  </w:pPr>
                </w:p>
                <w:p>
                  <w:pPr>
                    <w:ind w:left="420" w:leftChars="100" w:hanging="210" w:hangingChars="100"/>
                    <w:rPr>
                      <w:rFonts w:hint="eastAsia"/>
                    </w:rPr>
                  </w:pPr>
                </w:p>
                <w:p>
                  <w:pPr>
                    <w:ind w:left="420" w:leftChars="100" w:hanging="210" w:hangingChars="100"/>
                    <w:rPr>
                      <w:rFonts w:hint="eastAsia"/>
                    </w:rPr>
                  </w:pPr>
                </w:p>
                <w:p>
                  <w:pPr>
                    <w:ind w:left="420" w:leftChars="100" w:hanging="210" w:hangingChars="100"/>
                    <w:rPr>
                      <w:rFonts w:hint="eastAsia"/>
                    </w:rPr>
                  </w:pPr>
                </w:p>
                <w:p>
                  <w:pPr>
                    <w:ind w:left="420" w:leftChars="100" w:hanging="210" w:hangingChars="100"/>
                    <w:rPr>
                      <w:rFonts w:hint="eastAsia"/>
                    </w:rPr>
                  </w:pPr>
                </w:p>
                <w:p>
                  <w:pPr>
                    <w:ind w:left="420" w:leftChars="100" w:hanging="210" w:hangingChars="100"/>
                    <w:rPr>
                      <w:rFonts w:hint="eastAsia"/>
                    </w:rPr>
                  </w:pPr>
                </w:p>
                <w:p>
                  <w:pPr>
                    <w:ind w:left="420" w:leftChars="100" w:hanging="210" w:hangingChars="100"/>
                    <w:rPr>
                      <w:rFonts w:hint="eastAsia"/>
                    </w:rPr>
                  </w:pPr>
                </w:p>
                <w:p>
                  <w:pPr>
                    <w:ind w:left="420" w:leftChars="100" w:hanging="210" w:hangingChars="100"/>
                    <w:rPr>
                      <w:rFonts w:hint="eastAsia"/>
                    </w:rPr>
                  </w:pPr>
                </w:p>
              </w:tc>
              <w:tc>
                <w:tcPr>
                  <w:tcW w:w="713" w:type="dxa"/>
                  <w:tcBorders>
                    <w:top w:val="nil"/>
                    <w:bottom w:val="nil"/>
                    <w:right w:val="nil"/>
                  </w:tcBorders>
                  <w:textDirection w:val="lrTbV"/>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tcBorders>
                    <w:top w:val="nil"/>
                    <w:bottom w:val="nil"/>
                  </w:tcBorders>
                  <w:textDirection w:val="lrTbV"/>
                  <w:vAlign w:val="top"/>
                </w:tcPr>
                <w:p/>
              </w:tc>
              <w:tc>
                <w:tcPr>
                  <w:tcW w:w="1279" w:type="dxa"/>
                  <w:tcBorders>
                    <w:top w:val="nil"/>
                    <w:bottom w:val="nil"/>
                  </w:tcBorders>
                  <w:textDirection w:val="lrTbV"/>
                  <w:vAlign w:val="top"/>
                </w:tcPr>
                <w:p/>
              </w:tc>
              <w:tc>
                <w:tcPr>
                  <w:tcW w:w="3127" w:type="dxa"/>
                  <w:tcBorders>
                    <w:top w:val="nil"/>
                    <w:bottom w:val="nil"/>
                  </w:tcBorders>
                  <w:textDirection w:val="lrTbV"/>
                  <w:vAlign w:val="top"/>
                </w:tcPr>
                <w:p>
                  <w:pPr>
                    <w:ind w:left="420" w:leftChars="100" w:hanging="210" w:hangingChars="100"/>
                    <w:rPr>
                      <w:rFonts w:hint="eastAsia"/>
                    </w:rPr>
                  </w:pPr>
                  <w:r>
                    <w:rPr>
                      <w:rFonts w:hint="eastAsia"/>
                      <w:u w:val="single" w:color="auto"/>
                    </w:rPr>
                    <w:t>ロ</w:t>
                  </w:r>
                  <w:r>
                    <w:rPr>
                      <w:rFonts w:hint="eastAsia"/>
                    </w:rPr>
                    <w:t>　［略］</w:t>
                  </w:r>
                </w:p>
              </w:tc>
              <w:tc>
                <w:tcPr>
                  <w:tcW w:w="713" w:type="dxa"/>
                  <w:tcBorders>
                    <w:top w:val="nil"/>
                    <w:bottom w:val="nil"/>
                    <w:right w:val="nil"/>
                  </w:tcBorders>
                  <w:textDirection w:val="lrTbV"/>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tcBorders>
                    <w:top w:val="nil"/>
                    <w:bottom w:val="single" w:color="auto" w:sz="4" w:space="0"/>
                  </w:tcBorders>
                  <w:textDirection w:val="lrTbV"/>
                  <w:vAlign w:val="top"/>
                </w:tcPr>
                <w:p>
                  <w:r>
                    <w:rPr>
                      <w:rFonts w:hint="default"/>
                    </w:rPr>
                    <w:t>（略）</w:t>
                  </w:r>
                </w:p>
              </w:tc>
              <w:tc>
                <w:tcPr>
                  <w:tcW w:w="1279" w:type="dxa"/>
                  <w:tcBorders>
                    <w:top w:val="nil"/>
                    <w:bottom w:val="single" w:color="auto" w:sz="4" w:space="0"/>
                  </w:tcBorders>
                  <w:textDirection w:val="lrTbV"/>
                  <w:vAlign w:val="top"/>
                </w:tcPr>
                <w:p>
                  <w:r>
                    <w:rPr>
                      <w:rFonts w:hint="default"/>
                    </w:rPr>
                    <w:t>（略）</w:t>
                  </w:r>
                </w:p>
              </w:tc>
              <w:tc>
                <w:tcPr>
                  <w:tcW w:w="3127" w:type="dxa"/>
                  <w:tcBorders>
                    <w:top w:val="nil"/>
                    <w:bottom w:val="single" w:color="auto" w:sz="4" w:space="0"/>
                  </w:tcBorders>
                  <w:textDirection w:val="lrTbV"/>
                  <w:vAlign w:val="top"/>
                </w:tcPr>
                <w:p>
                  <w:pPr>
                    <w:ind w:left="420" w:leftChars="100" w:hanging="210" w:hangingChars="100"/>
                  </w:pPr>
                  <w:r>
                    <w:rPr>
                      <w:rFonts w:hint="eastAsia"/>
                    </w:rPr>
                    <w:t>［新設］</w:t>
                  </w:r>
                </w:p>
              </w:tc>
              <w:tc>
                <w:tcPr>
                  <w:tcW w:w="713" w:type="dxa"/>
                  <w:tcBorders>
                    <w:top w:val="nil"/>
                    <w:bottom w:val="nil"/>
                    <w:right w:val="nil"/>
                  </w:tcBorders>
                  <w:textDirection w:val="lrTbV"/>
                  <w:vAlign w:val="top"/>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42" w:type="dxa"/>
          </w:tblCellMar>
        </w:tblPrEx>
        <w:tc>
          <w:tcPr>
            <w:tcW w:w="6516" w:type="dxa"/>
            <w:tcBorders>
              <w:top w:val="nil"/>
              <w:bottom w:val="single" w:color="auto" w:sz="4" w:space="0"/>
            </w:tcBorders>
            <w:tcMar>
              <w:right w:w="0" w:type="dxa"/>
            </w:tcMar>
            <w:textDirection w:val="lrTbV"/>
            <w:vAlign w:val="top"/>
          </w:tcPr>
          <w:p>
            <w:pPr>
              <w:ind w:left="376" w:leftChars="100" w:hanging="166" w:hangingChars="100"/>
            </w:pPr>
            <w:r>
              <w:rPr>
                <w:rFonts w:hint="eastAsia"/>
                <w:w w:val="79"/>
                <w:eastAsianLayout w:id="1" w:vert="1" w:vertCompress="1"/>
              </w:rPr>
              <w:t>(注)</w:t>
            </w:r>
            <w:r>
              <w:rPr>
                <w:rFonts w:hint="eastAsia"/>
                <w:w w:val="79"/>
                <w:lang w:eastAsia="ja-JP"/>
              </w:rPr>
              <w:t>　</w:t>
            </w:r>
            <w:r>
              <w:rPr>
                <w:rFonts w:hint="eastAsia"/>
              </w:rPr>
              <w:t>略</w:t>
            </w:r>
          </w:p>
          <w:p>
            <w:pPr>
              <w:ind w:left="420" w:leftChars="100" w:hanging="210" w:hangingChars="100"/>
            </w:pPr>
            <w:r>
              <w:rPr>
                <w:rFonts w:hint="eastAsia"/>
                <w:lang w:val="en-US" w:eastAsia="ja-JP"/>
              </w:rPr>
              <w:t>⑽</w:t>
            </w:r>
            <w:r>
              <w:rPr>
                <w:rFonts w:hint="eastAsia"/>
              </w:rPr>
              <w:t>　［略］</w:t>
            </w:r>
          </w:p>
        </w:tc>
        <w:tc>
          <w:tcPr>
            <w:tcW w:w="6520" w:type="dxa"/>
            <w:tcBorders>
              <w:top w:val="nil"/>
              <w:bottom w:val="single" w:color="auto" w:sz="4" w:space="0"/>
            </w:tcBorders>
            <w:tcMar>
              <w:right w:w="0" w:type="dxa"/>
            </w:tcMar>
            <w:textDirection w:val="lrTbV"/>
            <w:vAlign w:val="top"/>
          </w:tcPr>
          <w:p>
            <w:pPr>
              <w:ind w:left="376" w:leftChars="100" w:hanging="166" w:hangingChars="100"/>
            </w:pPr>
            <w:r>
              <w:rPr>
                <w:rFonts w:hint="eastAsia"/>
                <w:w w:val="79"/>
                <w:eastAsianLayout w:id="2" w:vert="1" w:vertCompress="1"/>
              </w:rPr>
              <w:t>(注)</w:t>
            </w:r>
            <w:r>
              <w:rPr>
                <w:rFonts w:hint="eastAsia"/>
                <w:w w:val="79"/>
                <w:lang w:eastAsia="ja-JP"/>
              </w:rPr>
              <w:t>　</w:t>
            </w:r>
            <w:r>
              <w:rPr>
                <w:rFonts w:hint="eastAsia"/>
              </w:rPr>
              <w:t>略</w:t>
            </w:r>
          </w:p>
          <w:p>
            <w:pPr>
              <w:ind w:left="420" w:leftChars="100" w:hanging="210" w:hangingChars="100"/>
            </w:pPr>
            <w:r>
              <w:rPr>
                <w:rFonts w:hint="eastAsia"/>
                <w:lang w:val="en-US" w:eastAsia="ja-JP"/>
              </w:rPr>
              <w:t>⑽</w:t>
            </w:r>
            <w:r>
              <w:rPr>
                <w:rFonts w:hint="eastAsia"/>
              </w:rPr>
              <w:t>　［略］</w:t>
            </w:r>
          </w:p>
        </w:tc>
      </w:tr>
    </w:tbl>
    <w:p>
      <w:pPr>
        <w:widowControl/>
        <w:ind w:firstLine="210" w:firstLineChars="100"/>
        <w:jc w:val="left"/>
      </w:pPr>
    </w:p>
    <w:sectPr>
      <w:pgSz w:w="16838" w:h="11906" w:orient="landscape"/>
      <w:pgMar w:top="1701" w:right="1985" w:bottom="1701" w:left="1701" w:header="851" w:footer="992" w:gutter="0"/>
      <w:pgBorders>
        <w:top w:val="none" w:color="auto" w:sz="0" w:space="0"/>
        <w:left w:val="none" w:color="auto" w:sz="0" w:space="0"/>
        <w:bottom w:val="none" w:color="auto" w:sz="0" w:space="0"/>
        <w:right w:val="none" w:color="auto" w:sz="0" w:space="0"/>
      </w:pgBorders>
      <w:cols w:space="720" w:num="1"/>
      <w:textDirection w:val="lrTbV"/>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4019DD"/>
    <w:rsid w:val="00096010"/>
    <w:rsid w:val="0024518D"/>
    <w:rsid w:val="00254559"/>
    <w:rsid w:val="0025742B"/>
    <w:rsid w:val="002B7F65"/>
    <w:rsid w:val="00353F51"/>
    <w:rsid w:val="003F55C4"/>
    <w:rsid w:val="004019DD"/>
    <w:rsid w:val="004360C8"/>
    <w:rsid w:val="004853D6"/>
    <w:rsid w:val="004A6AC7"/>
    <w:rsid w:val="004C02AC"/>
    <w:rsid w:val="004F19C0"/>
    <w:rsid w:val="0050718E"/>
    <w:rsid w:val="005079B4"/>
    <w:rsid w:val="00515848"/>
    <w:rsid w:val="00522C4D"/>
    <w:rsid w:val="005E3308"/>
    <w:rsid w:val="00632B2A"/>
    <w:rsid w:val="00660F89"/>
    <w:rsid w:val="00670D05"/>
    <w:rsid w:val="00765E2C"/>
    <w:rsid w:val="007937A6"/>
    <w:rsid w:val="0079427B"/>
    <w:rsid w:val="007B6F9C"/>
    <w:rsid w:val="007E68A7"/>
    <w:rsid w:val="0082241F"/>
    <w:rsid w:val="00852934"/>
    <w:rsid w:val="00A04F1E"/>
    <w:rsid w:val="00A4608D"/>
    <w:rsid w:val="00A67B5F"/>
    <w:rsid w:val="00B51D25"/>
    <w:rsid w:val="00B96A2B"/>
    <w:rsid w:val="00C05A14"/>
    <w:rsid w:val="00C06EAB"/>
    <w:rsid w:val="00C1699F"/>
    <w:rsid w:val="00C255A6"/>
    <w:rsid w:val="00C737BB"/>
    <w:rsid w:val="00CA3264"/>
    <w:rsid w:val="00D04615"/>
    <w:rsid w:val="00D1601D"/>
    <w:rsid w:val="00D16CDE"/>
    <w:rsid w:val="00D654ED"/>
    <w:rsid w:val="00DA0E8E"/>
    <w:rsid w:val="00E50700"/>
    <w:rsid w:val="00E63470"/>
    <w:rsid w:val="00E7268B"/>
    <w:rsid w:val="00ED2F18"/>
    <w:rsid w:val="00F06710"/>
    <w:rsid w:val="00F17EE5"/>
    <w:rsid w:val="00FC4585"/>
    <w:rsid w:val="00FD690A"/>
    <w:rsid w:val="0E581497"/>
    <w:rsid w:val="1BAC3C60"/>
    <w:rsid w:val="578770A2"/>
    <w:rsid w:val="6A2B0DAA"/>
    <w:rsid w:val="7EBA6F05"/>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99" w:semiHidden="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99" w:semiHidden="0" w:name="Date"/>
    <w:lsdException w:uiPriority="0" w:name="Body Text First Indent"/>
    <w:lsdException w:uiPriority="0" w:name="Body Text First Indent 2"/>
    <w:lsdException w:uiPriority="99" w:semiHidden="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ntury" w:hAnsi="Century" w:eastAsia="ＭＳ 明朝" w:cs="Times New Roman"/>
      <w:kern w:val="2"/>
      <w:sz w:val="21"/>
      <w:szCs w:val="22"/>
      <w:lang w:val="en-US" w:eastAsia="ja-JP" w:bidi="ar-SA"/>
    </w:rPr>
  </w:style>
  <w:style w:type="character" w:default="1" w:styleId="7">
    <w:name w:val="Default Paragraph Font"/>
    <w:unhideWhenUsed/>
    <w:uiPriority w:val="1"/>
  </w:style>
  <w:style w:type="table" w:default="1" w:styleId="8">
    <w:name w:val="Normal Table"/>
    <w:unhideWhenUsed/>
    <w:uiPriority w:val="99"/>
    <w:tblPr>
      <w:tblStyle w:val="8"/>
      <w:tblLayout w:type="fixed"/>
      <w:tblCellMar>
        <w:top w:w="0" w:type="dxa"/>
        <w:left w:w="108" w:type="dxa"/>
        <w:bottom w:w="0" w:type="dxa"/>
        <w:right w:w="108" w:type="dxa"/>
      </w:tblCellMar>
    </w:tblPr>
    <w:tcPr>
      <w:textDirection w:val="lrTb"/>
    </w:tcPr>
  </w:style>
  <w:style w:type="paragraph" w:styleId="2">
    <w:name w:val="Note Heading"/>
    <w:basedOn w:val="1"/>
    <w:next w:val="1"/>
    <w:link w:val="13"/>
    <w:unhideWhenUsed/>
    <w:uiPriority w:val="99"/>
    <w:pPr>
      <w:jc w:val="center"/>
    </w:pPr>
  </w:style>
  <w:style w:type="paragraph" w:styleId="3">
    <w:name w:val="Closing"/>
    <w:basedOn w:val="1"/>
    <w:link w:val="14"/>
    <w:unhideWhenUsed/>
    <w:uiPriority w:val="99"/>
    <w:pPr>
      <w:jc w:val="right"/>
    </w:pPr>
  </w:style>
  <w:style w:type="paragraph" w:styleId="4">
    <w:name w:val="Date"/>
    <w:basedOn w:val="1"/>
    <w:next w:val="1"/>
    <w:link w:val="12"/>
    <w:unhideWhenUsed/>
    <w:uiPriority w:val="99"/>
  </w:style>
  <w:style w:type="paragraph" w:styleId="5">
    <w:name w:val="footer"/>
    <w:basedOn w:val="1"/>
    <w:link w:val="11"/>
    <w:unhideWhenUsed/>
    <w:uiPriority w:val="99"/>
    <w:pPr>
      <w:tabs>
        <w:tab w:val="center" w:pos="4252"/>
        <w:tab w:val="right" w:pos="8504"/>
      </w:tabs>
      <w:snapToGrid w:val="0"/>
    </w:pPr>
  </w:style>
  <w:style w:type="paragraph" w:styleId="6">
    <w:name w:val="header"/>
    <w:basedOn w:val="1"/>
    <w:link w:val="10"/>
    <w:unhideWhenUsed/>
    <w:uiPriority w:val="99"/>
    <w:pPr>
      <w:tabs>
        <w:tab w:val="center" w:pos="4252"/>
        <w:tab w:val="right" w:pos="8504"/>
      </w:tabs>
      <w:snapToGrid w:val="0"/>
    </w:pPr>
  </w:style>
  <w:style w:type="table" w:styleId="9">
    <w:name w:val="Table Grid"/>
    <w:basedOn w:val="8"/>
    <w:uiPriority w:val="39"/>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0">
    <w:name w:val="ヘッダー (文字)"/>
    <w:basedOn w:val="7"/>
    <w:link w:val="6"/>
    <w:uiPriority w:val="99"/>
    <w:rPr/>
  </w:style>
  <w:style w:type="character" w:customStyle="1" w:styleId="11">
    <w:name w:val="フッター (文字)"/>
    <w:basedOn w:val="7"/>
    <w:link w:val="5"/>
    <w:uiPriority w:val="99"/>
    <w:rPr/>
  </w:style>
  <w:style w:type="character" w:customStyle="1" w:styleId="12">
    <w:name w:val="日付 (文字)"/>
    <w:basedOn w:val="7"/>
    <w:link w:val="4"/>
    <w:semiHidden/>
    <w:uiPriority w:val="99"/>
    <w:rPr/>
  </w:style>
  <w:style w:type="character" w:customStyle="1" w:styleId="13">
    <w:name w:val="記 (文字)"/>
    <w:basedOn w:val="7"/>
    <w:link w:val="2"/>
    <w:uiPriority w:val="99"/>
    <w:rPr/>
  </w:style>
  <w:style w:type="character" w:customStyle="1" w:styleId="14">
    <w:name w:val="結語 (文字)"/>
    <w:basedOn w:val="7"/>
    <w:link w:val="3"/>
    <w:uiPriority w:val="99"/>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571</Words>
  <Characters>3256</Characters>
  <Lines>27</Lines>
  <Paragraphs>7</Paragraphs>
  <ScaleCrop>false</ScaleCrop>
  <LinksUpToDate>false</LinksUpToDate>
  <CharactersWithSpaces>0</CharactersWithSpaces>
  <Application>Kingsoft Office Professional_9.1.0.4922_{F1E327BC-269C-435d-A152-05C5408002CA}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2023-02-07T00:20:00Z</dcterms:created>
  <dc:creator>鈴木　恒久</dc:creator>
  <cp:lastModifiedBy>恒久</cp:lastModifiedBy>
  <cp:lastPrinted>2022-12-06T01:32:00Z</cp:lastPrinted>
  <dcterms:modified xsi:type="dcterms:W3CDTF">2025-09-12T14:57:59Z</dcterms:modified>
  <dc:title>ロシア連邦を原産地又は船積地域とする貨物の輸入の禁止措置に伴う税関の対応について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1041-9.1.0.4922</vt:lpwstr>
  </property>
</Properties>
</file>