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jc w:val="center"/>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イランに対する輸出入禁止措置等の再開に係る税関の対応について</w:t>
      </w:r>
    </w:p>
    <w:p>
      <w:pPr>
        <w:pStyle w:val="6"/>
        <w:rPr>
          <w:rFonts w:ascii="ＭＳ 明朝" w:hAnsi="ＭＳ 明朝" w:eastAsia="ＭＳ 明朝" w:cs="ＭＳ ゴシック"/>
          <w:sz w:val="21"/>
          <w:szCs w:val="21"/>
        </w:rPr>
      </w:pPr>
    </w:p>
    <w:p>
      <w:pPr>
        <w:pStyle w:val="6"/>
        <w:ind w:left="630" w:leftChars="300"/>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令和7年9月29日財関第946号</w:t>
      </w:r>
    </w:p>
    <w:p>
      <w:pPr>
        <w:pStyle w:val="6"/>
        <w:rPr>
          <w:rFonts w:ascii="ＭＳ 明朝" w:hAnsi="ＭＳ 明朝" w:eastAsia="ＭＳ 明朝" w:cs="ＭＳ ゴシック"/>
          <w:sz w:val="21"/>
          <w:szCs w:val="21"/>
        </w:rPr>
      </w:pPr>
    </w:p>
    <w:p>
      <w:pPr>
        <w:pStyle w:val="6"/>
        <w:ind w:firstLine="240" w:firstLineChars="100"/>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本年（令和7年）8月28日、英国、フランス及びドイツは国際連合安全保障理事会（以下「安保理」という。）に対し、イランによる核合意の重大な不履行を通知した。これを受け、安保理はイランに対する制裁を再開することを決定し、我が国においても、9月28日、「イランの拡散上機微な核活動等に関与する者に対する資産凍結等、核技術等に関連するイランによる投資の禁止及びイランへの大型通常兵器等の供給等に関連する資金の移転の防止の措置について」が閣議了解され、輸入公表の改正告示及び外務省告示等が公布されたところである</w:t>
      </w:r>
    </w:p>
    <w:p>
      <w:pPr>
        <w:pStyle w:val="6"/>
        <w:ind w:firstLine="240" w:firstLineChars="100"/>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税関においては、経済産業省貿易経済安全保障局長からの通知（別紙）を踏まえ、再開する輸出入禁止措置等の実効性の確保に努めるため、下記の項目を実施されたい。</w:t>
      </w:r>
    </w:p>
    <w:p>
      <w:pPr>
        <w:pStyle w:val="6"/>
        <w:ind w:firstLine="240" w:firstLineChars="100"/>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なお、この通達の実施に伴い「イランに対する輸出入禁止措置等の解除及び新たな措置の実施に伴う税関の対応について」（平成28年</w:t>
      </w:r>
      <w:r>
        <w:rPr>
          <w:rFonts w:hint="eastAsia" w:hAnsi="ＭＳ 明朝" w:cs="ＭＳ ゴシック"/>
          <w:sz w:val="21"/>
          <w:szCs w:val="21"/>
          <w:lang w:val="en-US" w:eastAsia="ja-JP"/>
        </w:rPr>
        <w:t>1</w:t>
      </w:r>
      <w:r>
        <w:rPr>
          <w:rFonts w:hint="eastAsia" w:ascii="ＭＳ 明朝" w:hAnsi="ＭＳ 明朝" w:eastAsia="ＭＳ 明朝" w:cs="ＭＳ ゴシック"/>
          <w:sz w:val="21"/>
          <w:szCs w:val="21"/>
        </w:rPr>
        <w:t>月22日財関第97号）は廃止する</w:t>
      </w:r>
    </w:p>
    <w:p>
      <w:pPr>
        <w:pStyle w:val="6"/>
        <w:rPr>
          <w:rFonts w:ascii="ＭＳ 明朝" w:hAnsi="ＭＳ 明朝" w:eastAsia="ＭＳ 明朝" w:cs="ＭＳ ゴシック"/>
          <w:sz w:val="21"/>
          <w:szCs w:val="21"/>
        </w:rPr>
      </w:pPr>
    </w:p>
    <w:p>
      <w:pPr>
        <w:pStyle w:val="6"/>
        <w:jc w:val="center"/>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記</w:t>
      </w:r>
    </w:p>
    <w:p>
      <w:pPr>
        <w:pStyle w:val="6"/>
        <w:rPr>
          <w:rFonts w:ascii="ＭＳ 明朝" w:hAnsi="ＭＳ 明朝" w:eastAsia="ＭＳ 明朝" w:cs="ＭＳ ゴシック"/>
          <w:sz w:val="21"/>
          <w:szCs w:val="21"/>
        </w:rPr>
      </w:pPr>
    </w:p>
    <w:p>
      <w:pPr>
        <w:pStyle w:val="6"/>
        <w:ind w:left="240" w:hanging="240" w:hangingChars="100"/>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1．イラン向けの輸出貿易管理令別表第１の二の項及び四の項に掲げる貨物の輸出については、経済産業大臣は禁止することとしていることから、経済産業省と連携し、輸出禁止措置を適切に実施すること。</w:t>
      </w:r>
    </w:p>
    <w:p>
      <w:pPr>
        <w:pStyle w:val="6"/>
        <w:ind w:left="240" w:hanging="240" w:hangingChars="100"/>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2．イランを原産地又は船積地域とする貨物の輸入申告がなされた場合には、当該貨物が輸入禁止物品に該当するか否かについて、輸入申告関係書類等により厳正な確認を行うとともに、経済産業省と連携し、輸入禁止措置を適切に実施すること。</w:t>
      </w:r>
    </w:p>
    <w:p>
      <w:pPr>
        <w:pStyle w:val="6"/>
        <w:ind w:left="240" w:hanging="240" w:hangingChars="100"/>
        <w:rPr>
          <w:rFonts w:hint="eastAsia" w:ascii="ＭＳ 明朝" w:hAnsi="ＭＳ 明朝" w:eastAsia="ＭＳ 明朝" w:cs="ＭＳ ゴシック"/>
          <w:sz w:val="21"/>
          <w:szCs w:val="21"/>
        </w:rPr>
      </w:pPr>
      <w:r>
        <w:rPr>
          <w:rFonts w:hint="eastAsia" w:ascii="ＭＳ 明朝" w:hAnsi="ＭＳ 明朝" w:eastAsia="ＭＳ 明朝" w:cs="ＭＳ ゴシック"/>
          <w:sz w:val="21"/>
          <w:szCs w:val="21"/>
        </w:rPr>
        <w:t>3．外務省告示（令和7年9月28日第375号）で指定され、入国又は通過が禁止されている対象者への対応として、事前旅客情報等により早期の把握に努め、これらの者が入国等しようとする事実が判明した場合には、法務省（入管）と連携の上、携帯品検査に当たっては慎重な審査及び検査を実施すること。</w:t>
      </w:r>
    </w:p>
    <w:p>
      <w:pPr>
        <w:pStyle w:val="6"/>
        <w:ind w:left="240" w:hanging="240" w:hangingChars="100"/>
        <w:rPr>
          <w:rFonts w:hint="eastAsia" w:ascii="ＭＳ 明朝" w:hAnsi="ＭＳ 明朝" w:eastAsia="ＭＳ 明朝" w:cs="ＭＳ ゴシック"/>
          <w:sz w:val="21"/>
          <w:szCs w:val="21"/>
        </w:rPr>
      </w:pPr>
      <w:r>
        <w:rPr>
          <w:rFonts w:hint="eastAsia" w:hAnsi="ＭＳ 明朝" w:cs="ＭＳ ゴシック"/>
          <w:sz w:val="21"/>
          <w:szCs w:val="21"/>
          <w:lang w:val="en-US" w:eastAsia="ja-JP"/>
        </w:rPr>
        <w:t>4</w:t>
      </w:r>
      <w:r>
        <w:rPr>
          <w:rFonts w:hint="eastAsia" w:ascii="ＭＳ 明朝" w:hAnsi="ＭＳ 明朝" w:eastAsia="ＭＳ 明朝" w:cs="ＭＳ ゴシック"/>
          <w:sz w:val="21"/>
          <w:szCs w:val="21"/>
        </w:rPr>
        <w:t>．貨物検査の要請への対応として、イランを仕向地又は仕出地とする輸出貿易管理令別表第１の二の項及び四の項に掲げる貨物等であると信じるに足る合理的な根拠を示す情報がある場合には、空港及び海港において、当該貨物等に対する慎重な検査を実施すること。</w:t>
      </w:r>
    </w:p>
    <w:p>
      <w:pPr>
        <w:pStyle w:val="6"/>
        <w:ind w:left="240" w:hanging="240" w:hangingChars="100"/>
        <w:rPr>
          <w:rFonts w:hint="eastAsia" w:ascii="ＭＳ 明朝" w:hAnsi="ＭＳ 明朝" w:eastAsia="ＭＳ 明朝" w:cs="ＭＳ ゴシック"/>
          <w:sz w:val="21"/>
          <w:szCs w:val="21"/>
        </w:rPr>
      </w:pPr>
      <w:r>
        <w:rPr>
          <w:rFonts w:hint="eastAsia" w:hAnsi="ＭＳ 明朝" w:cs="ＭＳ ゴシック"/>
          <w:sz w:val="21"/>
          <w:szCs w:val="21"/>
          <w:lang w:val="en-US" w:eastAsia="ja-JP"/>
        </w:rPr>
        <w:t>5</w:t>
      </w:r>
      <w:r>
        <w:rPr>
          <w:rFonts w:hint="eastAsia" w:ascii="ＭＳ 明朝" w:hAnsi="ＭＳ 明朝" w:eastAsia="ＭＳ 明朝" w:cs="ＭＳ ゴシック"/>
          <w:sz w:val="21"/>
          <w:szCs w:val="21"/>
        </w:rPr>
        <w:t>．上記により適正な通関の徹底を図るほか、輸出入事後調査を的確に実施し、違法行為が発見された場合には厳正に対処すること。また、関係省庁や関係機関との緊密な情報交換及び連携並びに通関業者、倉庫業者等の関係業者などからの情報収集について、一層の充実を図ること。</w:t>
      </w:r>
    </w:p>
    <w:p>
      <w:pPr>
        <w:widowControl/>
        <w:jc w:val="left"/>
        <w:rPr>
          <w:rFonts w:ascii="ＭＳ 明朝" w:hAnsi="ＭＳ 明朝" w:cs="ＭＳ ゴシック"/>
          <w:sz w:val="21"/>
          <w:szCs w:val="21"/>
        </w:rPr>
      </w:pPr>
      <w:r>
        <w:rPr>
          <w:rFonts w:ascii="ＭＳ 明朝" w:hAnsi="ＭＳ 明朝" w:cs="ＭＳ ゴシック"/>
          <w:sz w:val="21"/>
          <w:szCs w:val="21"/>
        </w:rPr>
        <w:br w:type="page"/>
      </w:r>
    </w:p>
    <w:p>
      <w:pPr>
        <w:pStyle w:val="6"/>
        <w:jc w:val="right"/>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令和7年9月28日20250917貿局第3号</w:t>
      </w:r>
    </w:p>
    <w:p>
      <w:pPr>
        <w:pStyle w:val="6"/>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財務省関税局長　殿</w:t>
      </w:r>
    </w:p>
    <w:p>
      <w:pPr>
        <w:pStyle w:val="6"/>
        <w:rPr>
          <w:rFonts w:ascii="ＭＳ 明朝" w:hAnsi="ＭＳ 明朝" w:eastAsia="ＭＳ 明朝" w:cs="ＭＳ ゴシック"/>
          <w:sz w:val="21"/>
          <w:szCs w:val="21"/>
        </w:rPr>
      </w:pPr>
    </w:p>
    <w:p>
      <w:pPr>
        <w:pStyle w:val="6"/>
        <w:rPr>
          <w:rFonts w:ascii="ＭＳ 明朝" w:hAnsi="ＭＳ 明朝" w:eastAsia="ＭＳ 明朝" w:cs="ＭＳ ゴシック"/>
          <w:sz w:val="21"/>
          <w:szCs w:val="21"/>
        </w:rPr>
      </w:pPr>
    </w:p>
    <w:p>
      <w:pPr>
        <w:pStyle w:val="6"/>
        <w:ind w:leftChars="2000"/>
        <w:jc w:val="center"/>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経済産業省貿易経済安全保障局長</w:t>
      </w:r>
    </w:p>
    <w:p>
      <w:pPr>
        <w:pStyle w:val="6"/>
        <w:rPr>
          <w:rFonts w:ascii="ＭＳ 明朝" w:hAnsi="ＭＳ 明朝" w:eastAsia="ＭＳ 明朝" w:cs="ＭＳ ゴシック"/>
          <w:sz w:val="21"/>
          <w:szCs w:val="21"/>
        </w:rPr>
      </w:pPr>
    </w:p>
    <w:p>
      <w:pPr>
        <w:pStyle w:val="6"/>
        <w:rPr>
          <w:rFonts w:ascii="ＭＳ 明朝" w:hAnsi="ＭＳ 明朝" w:eastAsia="ＭＳ 明朝" w:cs="ＭＳ ゴシック"/>
          <w:sz w:val="21"/>
          <w:szCs w:val="21"/>
        </w:rPr>
      </w:pPr>
    </w:p>
    <w:p>
      <w:pPr>
        <w:pStyle w:val="6"/>
        <w:rPr>
          <w:rFonts w:ascii="ＭＳ 明朝" w:hAnsi="ＭＳ 明朝" w:eastAsia="ＭＳ 明朝" w:cs="ＭＳ ゴシック"/>
          <w:sz w:val="21"/>
          <w:szCs w:val="21"/>
        </w:rPr>
      </w:pPr>
    </w:p>
    <w:p>
      <w:pPr>
        <w:pStyle w:val="6"/>
        <w:jc w:val="center"/>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イランに係る輸入禁止措置について</w:t>
      </w:r>
    </w:p>
    <w:p>
      <w:pPr>
        <w:pStyle w:val="6"/>
        <w:rPr>
          <w:rFonts w:ascii="ＭＳ 明朝" w:hAnsi="ＭＳ 明朝" w:eastAsia="ＭＳ 明朝" w:cs="ＭＳ ゴシック"/>
          <w:sz w:val="21"/>
          <w:szCs w:val="21"/>
        </w:rPr>
      </w:pPr>
    </w:p>
    <w:p>
      <w:pPr>
        <w:pStyle w:val="6"/>
        <w:widowControl w:val="0"/>
        <w:wordWrap/>
        <w:adjustRightInd/>
        <w:snapToGrid/>
        <w:spacing w:line="240" w:lineRule="auto"/>
        <w:ind w:left="0" w:leftChars="0" w:right="0" w:firstLine="210" w:firstLineChars="100"/>
        <w:jc w:val="both"/>
        <w:textAlignment w:val="auto"/>
        <w:outlineLvl w:val="9"/>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上記の件について、国連安保理決議第1737号、第1747号に基づき別紙のとおり告示されることになるため、税関においても本改正の趣旨を踏まえ当省と連携の上、御対応方よろしくお願い致します。</w:t>
      </w:r>
    </w:p>
    <w:p>
      <w:pPr>
        <w:pStyle w:val="6"/>
        <w:rPr>
          <w:rFonts w:ascii="ＭＳ 明朝" w:hAnsi="ＭＳ 明朝" w:eastAsia="ＭＳ 明朝" w:cs="ＭＳ ゴシック"/>
          <w:sz w:val="21"/>
          <w:szCs w:val="21"/>
        </w:rPr>
      </w:pPr>
    </w:p>
    <w:p>
      <w:pPr>
        <w:pStyle w:val="6"/>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　　　　　　　　　　　　　　　　　　　</w:t>
      </w:r>
    </w:p>
    <w:p>
      <w:pPr>
        <w:rPr>
          <w:rFonts w:ascii="ＭＳ 明朝" w:hAnsi="ＭＳ 明朝"/>
          <w:sz w:val="21"/>
          <w:szCs w:val="21"/>
        </w:rPr>
        <w:sectPr>
          <w:pgSz w:w="11906" w:h="16838"/>
          <w:pgMar w:top="1985" w:right="1701" w:bottom="1701" w:left="1701" w:header="851" w:footer="992" w:gutter="0"/>
          <w:pgBorders>
            <w:top w:val="none" w:color="auto" w:sz="0" w:space="0"/>
            <w:left w:val="none" w:color="auto" w:sz="0" w:space="0"/>
            <w:bottom w:val="none" w:color="auto" w:sz="0" w:space="0"/>
            <w:right w:val="none" w:color="auto" w:sz="0" w:space="0"/>
          </w:pgBorders>
          <w:cols w:space="720" w:num="1"/>
          <w:docGrid w:type="lines" w:linePitch="360" w:charSpace="0"/>
        </w:sectPr>
      </w:pPr>
    </w:p>
    <w:p>
      <w:pPr>
        <w:rPr>
          <w:rFonts w:ascii="ＭＳ 明朝" w:hAnsi="ＭＳ 明朝"/>
          <w:sz w:val="21"/>
          <w:szCs w:val="21"/>
        </w:rPr>
      </w:pPr>
      <w:r>
        <w:rPr>
          <w:rFonts w:hint="eastAsia" w:ascii="ＭＳ 明朝" w:hAnsi="ＭＳ 明朝"/>
          <w:sz w:val="21"/>
          <w:szCs w:val="21"/>
        </w:rPr>
        <w:t>○経済産業省告示第百四十二号</w:t>
      </w:r>
    </w:p>
    <w:p>
      <w:pPr>
        <w:ind w:firstLine="210" w:firstLineChars="100"/>
        <w:rPr>
          <w:rFonts w:ascii="ＭＳ 明朝" w:hAnsi="ＭＳ 明朝"/>
          <w:sz w:val="21"/>
          <w:szCs w:val="21"/>
        </w:rPr>
      </w:pPr>
      <w:r>
        <w:rPr>
          <w:rFonts w:hint="eastAsia" w:ascii="ＭＳ 明朝" w:hAnsi="ＭＳ 明朝"/>
          <w:sz w:val="21"/>
          <w:szCs w:val="21"/>
        </w:rPr>
        <w:t>輸入貿易管理令（昭和二十四年政令第四百十四号）第三条第一項の規定に基づき、昭和四十一年通商産業省告示第百七十号（輸入割当てを受けるべき貨物の品目、輸入の承認を受けるべき貨物の原産地又は船積地域その他貨物の輸入について必要な事項の公表）の一部を次の表のように改正し、令和七年九月二十九日から施行する。</w:t>
      </w:r>
    </w:p>
    <w:p>
      <w:pPr>
        <w:ind w:left="420" w:leftChars="200"/>
        <w:rPr>
          <w:rFonts w:hint="eastAsia" w:ascii="ＭＳ 明朝" w:hAnsi="ＭＳ 明朝"/>
          <w:sz w:val="21"/>
          <w:szCs w:val="21"/>
        </w:rPr>
      </w:pPr>
      <w:r>
        <w:rPr>
          <w:rFonts w:hint="eastAsia" w:ascii="ＭＳ 明朝" w:hAnsi="ＭＳ 明朝"/>
          <w:sz w:val="21"/>
          <w:szCs w:val="21"/>
        </w:rPr>
        <w:t>令和七年九月二十八日</w:t>
      </w:r>
      <w:r>
        <w:rPr>
          <w:rFonts w:ascii="ＭＳ 明朝" w:hAnsi="ＭＳ 明朝"/>
          <w:sz w:val="21"/>
          <w:szCs w:val="21"/>
        </w:rPr>
        <w:tab/>
      </w:r>
      <w:r>
        <w:rPr>
          <w:rFonts w:ascii="ＭＳ 明朝" w:hAnsi="ＭＳ 明朝"/>
          <w:sz w:val="21"/>
          <w:szCs w:val="21"/>
        </w:rPr>
        <w:tab/>
      </w:r>
      <w:r>
        <w:rPr>
          <w:rFonts w:ascii="ＭＳ 明朝" w:hAnsi="ＭＳ 明朝"/>
          <w:sz w:val="21"/>
          <w:szCs w:val="21"/>
        </w:rPr>
        <w:tab/>
      </w:r>
      <w:r>
        <w:rPr>
          <w:rFonts w:ascii="ＭＳ 明朝" w:hAnsi="ＭＳ 明朝"/>
          <w:sz w:val="21"/>
          <w:szCs w:val="21"/>
        </w:rPr>
        <w:tab/>
      </w:r>
      <w:r>
        <w:rPr>
          <w:rFonts w:ascii="ＭＳ 明朝" w:hAnsi="ＭＳ 明朝"/>
          <w:sz w:val="21"/>
          <w:szCs w:val="21"/>
        </w:rPr>
        <w:tab/>
      </w:r>
      <w:r>
        <w:rPr>
          <w:rFonts w:ascii="ＭＳ 明朝" w:hAnsi="ＭＳ 明朝"/>
          <w:sz w:val="21"/>
          <w:szCs w:val="21"/>
        </w:rPr>
        <w:tab/>
      </w:r>
      <w:r>
        <w:rPr>
          <w:rFonts w:ascii="ＭＳ 明朝" w:hAnsi="ＭＳ 明朝"/>
          <w:sz w:val="21"/>
          <w:szCs w:val="21"/>
        </w:rPr>
        <w:tab/>
      </w:r>
      <w:r>
        <w:rPr>
          <w:rFonts w:ascii="ＭＳ 明朝" w:hAnsi="ＭＳ 明朝"/>
          <w:sz w:val="21"/>
          <w:szCs w:val="21"/>
        </w:rPr>
        <w:tab/>
      </w:r>
      <w:r>
        <w:rPr>
          <w:rFonts w:ascii="ＭＳ 明朝" w:hAnsi="ＭＳ 明朝"/>
          <w:sz w:val="21"/>
          <w:szCs w:val="21"/>
        </w:rPr>
        <w:tab/>
      </w:r>
      <w:r>
        <w:rPr>
          <w:rFonts w:hint="eastAsia" w:ascii="ＭＳ 明朝" w:hAnsi="ＭＳ 明朝"/>
          <w:sz w:val="21"/>
          <w:szCs w:val="21"/>
        </w:rPr>
        <w:t>経済産業大臣　武藤</w:t>
      </w:r>
      <w:r>
        <w:rPr>
          <w:rFonts w:hint="eastAsia" w:ascii="ＭＳ 明朝" w:hAnsi="ＭＳ 明朝"/>
          <w:sz w:val="21"/>
          <w:szCs w:val="21"/>
          <w:lang w:eastAsia="ja-JP"/>
        </w:rPr>
        <w:t>　</w:t>
      </w:r>
      <w:r>
        <w:rPr>
          <w:rFonts w:hint="eastAsia" w:ascii="ＭＳ 明朝" w:hAnsi="ＭＳ 明朝"/>
          <w:sz w:val="21"/>
          <w:szCs w:val="21"/>
        </w:rPr>
        <w:t>容治</w:t>
      </w:r>
    </w:p>
    <w:p>
      <w:pPr>
        <w:ind w:left="420" w:leftChars="200"/>
        <w:rPr>
          <w:rFonts w:hint="eastAsia" w:ascii="ＭＳ 明朝" w:hAnsi="ＭＳ 明朝"/>
          <w:sz w:val="21"/>
          <w:szCs w:val="21"/>
        </w:rPr>
      </w:pPr>
    </w:p>
    <w:p>
      <w:pPr>
        <w:wordWrap w:val="0"/>
        <w:ind w:firstLine="210" w:firstLineChars="100"/>
        <w:jc w:val="right"/>
        <w:rPr>
          <w:sz w:val="21"/>
          <w:szCs w:val="21"/>
        </w:rPr>
      </w:pPr>
      <w:r>
        <w:rPr>
          <w:rFonts w:hint="eastAsia"/>
          <w:sz w:val="21"/>
          <w:szCs w:val="21"/>
        </w:rPr>
        <w:t>（傍線部分は改正部分）</w:t>
      </w:r>
      <w:r>
        <w:rPr>
          <w:rFonts w:hint="eastAsia"/>
          <w:sz w:val="21"/>
          <w:szCs w:val="21"/>
          <w:lang w:eastAsia="ja-JP"/>
        </w:rPr>
        <w:t>　</w:t>
      </w:r>
    </w:p>
    <w:tbl>
      <w:tblPr>
        <w:tblStyle w:val="10"/>
        <w:tblW w:w="130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6"/>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16" w:type="dxa"/>
            <w:tcBorders>
              <w:bottom w:val="single" w:color="auto" w:sz="4" w:space="0"/>
            </w:tcBorders>
            <w:textDirection w:val="lrTbV"/>
            <w:vAlign w:val="top"/>
          </w:tcPr>
          <w:p>
            <w:pPr>
              <w:jc w:val="center"/>
              <w:rPr>
                <w:sz w:val="21"/>
                <w:szCs w:val="21"/>
              </w:rPr>
            </w:pPr>
            <w:r>
              <w:rPr>
                <w:rFonts w:hint="eastAsia"/>
                <w:sz w:val="21"/>
                <w:szCs w:val="21"/>
              </w:rPr>
              <w:t>改　正　後</w:t>
            </w:r>
          </w:p>
        </w:tc>
        <w:tc>
          <w:tcPr>
            <w:tcW w:w="6520" w:type="dxa"/>
            <w:tcBorders>
              <w:bottom w:val="single" w:color="auto" w:sz="4" w:space="0"/>
            </w:tcBorders>
            <w:textDirection w:val="lrTbV"/>
            <w:vAlign w:val="top"/>
          </w:tcPr>
          <w:p>
            <w:pPr>
              <w:jc w:val="center"/>
              <w:rPr>
                <w:sz w:val="21"/>
                <w:szCs w:val="21"/>
              </w:rPr>
            </w:pPr>
            <w:r>
              <w:rPr>
                <w:rFonts w:hint="eastAsia"/>
                <w:sz w:val="21"/>
                <w:szCs w:val="21"/>
              </w:rPr>
              <w:t>改</w:t>
            </w:r>
            <w:r>
              <w:rPr>
                <w:rFonts w:hint="eastAsia"/>
                <w:sz w:val="21"/>
                <w:szCs w:val="21"/>
                <w:lang w:eastAsia="ja-JP"/>
              </w:rPr>
              <w:t>　</w:t>
            </w:r>
            <w:r>
              <w:rPr>
                <w:rFonts w:hint="eastAsia"/>
                <w:sz w:val="21"/>
                <w:szCs w:val="21"/>
              </w:rPr>
              <w:t>正</w:t>
            </w:r>
            <w:r>
              <w:rPr>
                <w:rFonts w:hint="eastAsia"/>
                <w:sz w:val="21"/>
                <w:szCs w:val="21"/>
                <w:lang w:eastAsia="ja-JP"/>
              </w:rPr>
              <w:t>　</w:t>
            </w:r>
            <w:r>
              <w:rPr>
                <w:rFonts w:hint="eastAsia"/>
                <w:sz w:val="21"/>
                <w:szCs w:val="21"/>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5" w:hRule="atLeast"/>
        </w:trPr>
        <w:tc>
          <w:tcPr>
            <w:tcW w:w="6516" w:type="dxa"/>
            <w:tcBorders>
              <w:bottom w:val="nil"/>
            </w:tcBorders>
            <w:textDirection w:val="lrTbV"/>
            <w:vAlign w:val="top"/>
          </w:tcPr>
          <w:p>
            <w:pPr>
              <w:ind w:left="210" w:hanging="210" w:hangingChars="100"/>
              <w:rPr>
                <w:sz w:val="21"/>
                <w:szCs w:val="21"/>
              </w:rPr>
            </w:pPr>
            <w:r>
              <w:rPr>
                <w:rFonts w:hint="eastAsia"/>
                <w:sz w:val="21"/>
                <w:szCs w:val="21"/>
              </w:rPr>
              <w:t>二　輸入貿易管理令（以下「令」という。）第四条第一項第二号の規定による輸入の承認（全地域を原産地又は船積地域とする貨物の輸入に係る承認を除く。以下「二号承認」という。）を受けるべき場合は、次の表の第一に掲げる貨物及び同表の第二に掲げる貨物を輸入するときとする。</w:t>
            </w:r>
          </w:p>
        </w:tc>
        <w:tc>
          <w:tcPr>
            <w:tcW w:w="6520" w:type="dxa"/>
            <w:tcBorders>
              <w:bottom w:val="nil"/>
            </w:tcBorders>
            <w:textDirection w:val="lrTbV"/>
            <w:vAlign w:val="top"/>
          </w:tcPr>
          <w:p>
            <w:pPr>
              <w:ind w:left="210" w:hanging="210" w:hangingChars="100"/>
              <w:rPr>
                <w:sz w:val="21"/>
                <w:szCs w:val="21"/>
              </w:rPr>
            </w:pPr>
            <w:r>
              <w:rPr>
                <w:rFonts w:hint="eastAsia"/>
                <w:sz w:val="21"/>
                <w:szCs w:val="21"/>
              </w:rPr>
              <w:t>二　輸入貿易管理令（以下「令」という。）第四条第一項第二号の規定による輸入の承認（全地域を原産地又は船積地域とする貨物の輸入に係る承認を除く。以下「二号承認」という。）を受けるべき場合は、次の表の第一に掲げる貨物及び同表の第二に掲げる貨物を輸入するときとす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rPr>
        <w:tc>
          <w:tcPr>
            <w:tcW w:w="6516" w:type="dxa"/>
            <w:tcBorders>
              <w:top w:val="nil"/>
              <w:bottom w:val="nil"/>
            </w:tcBorders>
            <w:vAlign w:val="top"/>
          </w:tcPr>
          <w:p>
            <w:pPr>
              <w:ind w:left="420" w:hanging="420" w:hangingChars="200"/>
              <w:rPr>
                <w:sz w:val="21"/>
                <w:szCs w:val="21"/>
              </w:rPr>
            </w:pPr>
            <w:r>
              <w:rPr>
                <w:rFonts w:hint="eastAsia"/>
                <w:sz w:val="21"/>
                <w:szCs w:val="21"/>
              </w:rPr>
              <w:t>第１　次の表の左欄に掲げる地域を原産地又は船積地域とする同表の右欄に掲げる貨物</w:t>
            </w:r>
          </w:p>
        </w:tc>
        <w:tc>
          <w:tcPr>
            <w:tcW w:w="6520" w:type="dxa"/>
            <w:tcBorders>
              <w:top w:val="nil"/>
              <w:bottom w:val="nil"/>
            </w:tcBorders>
            <w:vAlign w:val="top"/>
          </w:tcPr>
          <w:p>
            <w:pPr>
              <w:ind w:left="420" w:hanging="420" w:hangingChars="200"/>
              <w:rPr>
                <w:sz w:val="21"/>
                <w:szCs w:val="21"/>
              </w:rPr>
            </w:pPr>
            <w:r>
              <w:rPr>
                <w:rFonts w:hint="eastAsia"/>
                <w:sz w:val="21"/>
                <w:szCs w:val="21"/>
              </w:rPr>
              <w:t>第１　次の表の左欄に掲げる地域を原産地又は船積地域とする同表の右欄に掲げる貨物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16" w:type="dxa"/>
            <w:tcBorders>
              <w:top w:val="nil"/>
              <w:bottom w:val="nil"/>
            </w:tcBorders>
            <w:vAlign w:val="top"/>
          </w:tcPr>
          <w:tbl>
            <w:tblPr>
              <w:tblStyle w:val="10"/>
              <w:tblW w:w="13096"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851"/>
              <w:gridCol w:w="1134"/>
              <w:gridCol w:w="2693"/>
              <w:gridCol w:w="6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559" w:type="dxa"/>
                  <w:vMerge w:val="restart"/>
                  <w:vAlign w:val="center"/>
                </w:tcPr>
                <w:p>
                  <w:pPr>
                    <w:jc w:val="center"/>
                    <w:rPr>
                      <w:sz w:val="21"/>
                      <w:szCs w:val="21"/>
                    </w:rPr>
                  </w:pPr>
                  <w:r>
                    <w:rPr>
                      <w:rFonts w:hint="eastAsia"/>
                      <w:sz w:val="21"/>
                      <w:szCs w:val="21"/>
                    </w:rPr>
                    <w:t>地　域</w:t>
                  </w:r>
                </w:p>
              </w:tc>
              <w:tc>
                <w:tcPr>
                  <w:tcW w:w="4678" w:type="dxa"/>
                  <w:gridSpan w:val="3"/>
                  <w:vAlign w:val="top"/>
                </w:tcPr>
                <w:p>
                  <w:pPr>
                    <w:jc w:val="center"/>
                    <w:rPr>
                      <w:sz w:val="21"/>
                      <w:szCs w:val="21"/>
                    </w:rPr>
                  </w:pPr>
                  <w:r>
                    <w:rPr>
                      <w:rFonts w:hint="eastAsia"/>
                      <w:sz w:val="21"/>
                      <w:szCs w:val="21"/>
                    </w:rPr>
                    <w:t>貨　　　　　　物</w:t>
                  </w:r>
                </w:p>
              </w:tc>
              <w:tc>
                <w:tcPr>
                  <w:tcW w:w="6859" w:type="dxa"/>
                  <w:vMerge w:val="restart"/>
                  <w:tcBorders>
                    <w:top w:val="nil"/>
                    <w:bottom w:val="nil"/>
                  </w:tcBorders>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559" w:type="dxa"/>
                  <w:vMerge w:val="continue"/>
                  <w:vAlign w:val="top"/>
                </w:tcPr>
                <w:p>
                  <w:pPr>
                    <w:rPr>
                      <w:sz w:val="21"/>
                      <w:szCs w:val="21"/>
                    </w:rPr>
                  </w:pPr>
                </w:p>
              </w:tc>
              <w:tc>
                <w:tcPr>
                  <w:tcW w:w="851" w:type="dxa"/>
                  <w:vAlign w:val="top"/>
                </w:tcPr>
                <w:p>
                  <w:pPr>
                    <w:jc w:val="center"/>
                    <w:rPr>
                      <w:sz w:val="21"/>
                      <w:szCs w:val="21"/>
                    </w:rPr>
                  </w:pPr>
                  <w:r>
                    <w:rPr>
                      <w:rFonts w:hint="eastAsia"/>
                      <w:sz w:val="21"/>
                      <w:szCs w:val="21"/>
                    </w:rPr>
                    <w:t>項目</w:t>
                  </w:r>
                </w:p>
                <w:p>
                  <w:pPr>
                    <w:jc w:val="center"/>
                    <w:rPr>
                      <w:sz w:val="21"/>
                      <w:szCs w:val="21"/>
                    </w:rPr>
                  </w:pPr>
                  <w:r>
                    <w:rPr>
                      <w:rFonts w:hint="eastAsia"/>
                      <w:sz w:val="21"/>
                      <w:szCs w:val="21"/>
                    </w:rPr>
                    <w:t>番号</w:t>
                  </w:r>
                </w:p>
              </w:tc>
              <w:tc>
                <w:tcPr>
                  <w:tcW w:w="1134" w:type="dxa"/>
                  <w:vAlign w:val="top"/>
                </w:tcPr>
                <w:p>
                  <w:pPr>
                    <w:jc w:val="center"/>
                    <w:rPr>
                      <w:sz w:val="21"/>
                      <w:szCs w:val="21"/>
                    </w:rPr>
                  </w:pPr>
                  <w:r>
                    <w:rPr>
                      <w:rFonts w:hint="eastAsia"/>
                      <w:sz w:val="21"/>
                      <w:szCs w:val="21"/>
                    </w:rPr>
                    <w:t>関税率表</w:t>
                  </w:r>
                </w:p>
                <w:p>
                  <w:pPr>
                    <w:jc w:val="center"/>
                    <w:rPr>
                      <w:sz w:val="21"/>
                      <w:szCs w:val="21"/>
                    </w:rPr>
                  </w:pPr>
                  <w:r>
                    <w:rPr>
                      <w:rFonts w:hint="eastAsia"/>
                      <w:sz w:val="21"/>
                      <w:szCs w:val="21"/>
                    </w:rPr>
                    <w:t>の番号等</w:t>
                  </w:r>
                </w:p>
              </w:tc>
              <w:tc>
                <w:tcPr>
                  <w:tcW w:w="2693" w:type="dxa"/>
                  <w:vAlign w:val="center"/>
                </w:tcPr>
                <w:p>
                  <w:pPr>
                    <w:jc w:val="center"/>
                    <w:rPr>
                      <w:sz w:val="21"/>
                      <w:szCs w:val="21"/>
                    </w:rPr>
                  </w:pPr>
                  <w:r>
                    <w:rPr>
                      <w:rFonts w:hint="eastAsia"/>
                      <w:sz w:val="21"/>
                      <w:szCs w:val="21"/>
                    </w:rPr>
                    <w:t>貨　物　名</w:t>
                  </w:r>
                </w:p>
              </w:tc>
              <w:tc>
                <w:tcPr>
                  <w:tcW w:w="6859" w:type="dxa"/>
                  <w:vMerge w:val="continue"/>
                  <w:tcBorders>
                    <w:top w:val="nil"/>
                    <w:bottom w:val="nil"/>
                  </w:tcBorders>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559" w:type="dxa"/>
                  <w:vAlign w:val="top"/>
                </w:tcPr>
                <w:p>
                  <w:pPr>
                    <w:rPr>
                      <w:sz w:val="21"/>
                      <w:szCs w:val="21"/>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851" w:type="dxa"/>
                  <w:vAlign w:val="top"/>
                </w:tcPr>
                <w:p>
                  <w:pPr>
                    <w:rPr>
                      <w:sz w:val="21"/>
                      <w:szCs w:val="21"/>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1134" w:type="dxa"/>
                  <w:vAlign w:val="top"/>
                </w:tcPr>
                <w:p>
                  <w:pPr>
                    <w:rPr>
                      <w:sz w:val="21"/>
                      <w:szCs w:val="21"/>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2693" w:type="dxa"/>
                  <w:vAlign w:val="top"/>
                </w:tcPr>
                <w:p>
                  <w:pPr>
                    <w:rPr>
                      <w:sz w:val="21"/>
                      <w:szCs w:val="21"/>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6859" w:type="dxa"/>
                  <w:vMerge w:val="continue"/>
                  <w:tcBorders>
                    <w:top w:val="nil"/>
                    <w:bottom w:val="nil"/>
                  </w:tcBorders>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559" w:type="dxa"/>
                  <w:vAlign w:val="top"/>
                </w:tcPr>
                <w:p>
                  <w:pPr>
                    <w:rPr>
                      <w:sz w:val="21"/>
                      <w:szCs w:val="21"/>
                    </w:rPr>
                  </w:pPr>
                  <w:r>
                    <w:rPr>
                      <w:rFonts w:hint="default"/>
                      <w:sz w:val="21"/>
                      <w:szCs w:val="21"/>
                    </w:rPr>
                    <w:t>ロシア（原油及び石油製品についてはロシアを原産地 とする場合に限る。）</w:t>
                  </w:r>
                </w:p>
              </w:tc>
              <w:tc>
                <w:tcPr>
                  <w:tcW w:w="851" w:type="dxa"/>
                  <w:vAlign w:val="top"/>
                </w:tcPr>
                <w:p>
                  <w:pPr>
                    <w:rPr>
                      <w:sz w:val="21"/>
                      <w:szCs w:val="21"/>
                      <w:u w:val="double"/>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1134" w:type="dxa"/>
                  <w:vAlign w:val="top"/>
                </w:tcPr>
                <w:p>
                  <w:pPr>
                    <w:rPr>
                      <w:sz w:val="21"/>
                      <w:szCs w:val="21"/>
                      <w:u w:val="double"/>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2693" w:type="dxa"/>
                  <w:vAlign w:val="top"/>
                </w:tcPr>
                <w:p>
                  <w:pPr>
                    <w:rPr>
                      <w:sz w:val="21"/>
                      <w:szCs w:val="21"/>
                      <w:u w:val="double"/>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6859" w:type="dxa"/>
                  <w:vMerge w:val="continue"/>
                  <w:tcBorders>
                    <w:top w:val="nil"/>
                    <w:bottom w:val="nil"/>
                  </w:tcBorders>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559" w:type="dxa"/>
                  <w:vAlign w:val="top"/>
                </w:tcPr>
                <w:p>
                  <w:pPr>
                    <w:rPr>
                      <w:sz w:val="21"/>
                      <w:szCs w:val="21"/>
                      <w:u w:val="single" w:color="auto"/>
                    </w:rPr>
                  </w:pPr>
                  <w:r>
                    <w:rPr>
                      <w:rFonts w:hint="default"/>
                      <w:sz w:val="21"/>
                      <w:szCs w:val="21"/>
                      <w:u w:val="single" w:color="auto"/>
                    </w:rPr>
                    <w:t>イラン</w:t>
                  </w:r>
                </w:p>
              </w:tc>
              <w:tc>
                <w:tcPr>
                  <w:tcW w:w="851" w:type="dxa"/>
                  <w:vAlign w:val="top"/>
                </w:tcPr>
                <w:p>
                  <w:pPr>
                    <w:rPr>
                      <w:rFonts w:hint="eastAsia" w:ascii="ＭＳ 明朝" w:hAnsi="ＭＳ 明朝" w:eastAsia="ＭＳ 明朝" w:cs="ＭＳ 明朝"/>
                      <w:sz w:val="21"/>
                      <w:szCs w:val="21"/>
                      <w:u w:val="single" w:color="auto"/>
                    </w:rPr>
                  </w:pPr>
                </w:p>
              </w:tc>
              <w:tc>
                <w:tcPr>
                  <w:tcW w:w="1134" w:type="dxa"/>
                  <w:vAlign w:val="top"/>
                </w:tcPr>
                <w:p>
                  <w:pPr>
                    <w:jc w:val="center"/>
                    <w:rPr>
                      <w:rFonts w:hint="eastAsia"/>
                      <w:sz w:val="21"/>
                      <w:szCs w:val="21"/>
                      <w:u w:val="single" w:color="auto"/>
                    </w:rPr>
                  </w:pPr>
                </w:p>
              </w:tc>
              <w:tc>
                <w:tcPr>
                  <w:tcW w:w="2693" w:type="dxa"/>
                  <w:vAlign w:val="top"/>
                </w:tcPr>
                <w:p>
                  <w:pPr>
                    <w:rPr>
                      <w:rFonts w:hint="eastAsia"/>
                      <w:sz w:val="21"/>
                      <w:szCs w:val="21"/>
                      <w:u w:val="single" w:color="auto"/>
                    </w:rPr>
                  </w:pPr>
                  <w:r>
                    <w:rPr>
                      <w:rFonts w:hint="default"/>
                      <w:sz w:val="21"/>
                      <w:szCs w:val="21"/>
                      <w:u w:val="single" w:color="auto"/>
                    </w:rPr>
                    <w:t xml:space="preserve">輸出貿易管理令（昭和二十四年政令第三百七十八号）別表第一の一の項及び二の項の中欄に掲げる貨物、同表の三の項（二）７に掲げる貨物（六ふっ化ウランに対して耐食性のある材料を用いたベローズ弁に限る。）、同項（二）９に掲げる貨物（ウラン同位元素の分離用の装置に用いられる真空ポンプに限る。）並びに同表の四の項の中欄に掲げる貨物 </w:t>
                  </w:r>
                </w:p>
              </w:tc>
              <w:tc>
                <w:tcPr>
                  <w:tcW w:w="6859" w:type="dxa"/>
                  <w:tcBorders>
                    <w:top w:val="nil"/>
                    <w:bottom w:val="nil"/>
                  </w:tcBorders>
                  <w:vAlign w:val="top"/>
                </w:tcPr>
                <w:p>
                  <w:pPr>
                    <w:rPr>
                      <w:sz w:val="21"/>
                      <w:szCs w:val="21"/>
                    </w:rPr>
                  </w:pPr>
                </w:p>
              </w:tc>
            </w:tr>
          </w:tbl>
          <w:p>
            <w:pPr>
              <w:ind w:left="210" w:hanging="210" w:hangingChars="100"/>
              <w:rPr>
                <w:sz w:val="21"/>
                <w:szCs w:val="21"/>
              </w:rPr>
            </w:pPr>
          </w:p>
        </w:tc>
        <w:tc>
          <w:tcPr>
            <w:tcW w:w="6520" w:type="dxa"/>
            <w:tcBorders>
              <w:top w:val="nil"/>
              <w:bottom w:val="nil"/>
            </w:tcBorders>
            <w:vAlign w:val="top"/>
          </w:tcPr>
          <w:tbl>
            <w:tblPr>
              <w:tblStyle w:val="10"/>
              <w:tblW w:w="6461" w:type="dxa"/>
              <w:tblInd w:w="57" w:type="dxa"/>
              <w:tblBorders>
                <w:top w:val="none" w:color="auto" w:sz="0"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854"/>
              <w:gridCol w:w="1134"/>
              <w:gridCol w:w="2681"/>
              <w:gridCol w:w="236"/>
            </w:tblGrid>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556" w:type="dxa"/>
                  <w:vMerge w:val="restart"/>
                  <w:tcBorders>
                    <w:top w:val="single" w:color="auto" w:sz="4" w:space="0"/>
                  </w:tcBorders>
                  <w:vAlign w:val="center"/>
                </w:tcPr>
                <w:p>
                  <w:pPr>
                    <w:jc w:val="center"/>
                    <w:rPr>
                      <w:sz w:val="21"/>
                      <w:szCs w:val="21"/>
                    </w:rPr>
                  </w:pPr>
                  <w:r>
                    <w:rPr>
                      <w:rFonts w:hint="eastAsia"/>
                      <w:sz w:val="21"/>
                      <w:szCs w:val="21"/>
                    </w:rPr>
                    <w:t>地　域</w:t>
                  </w:r>
                </w:p>
              </w:tc>
              <w:tc>
                <w:tcPr>
                  <w:tcW w:w="4669" w:type="dxa"/>
                  <w:gridSpan w:val="3"/>
                  <w:tcBorders>
                    <w:top w:val="single" w:color="auto" w:sz="4" w:space="0"/>
                    <w:bottom w:val="single" w:color="auto" w:sz="4" w:space="0"/>
                  </w:tcBorders>
                  <w:vAlign w:val="top"/>
                </w:tcPr>
                <w:p>
                  <w:pPr>
                    <w:jc w:val="center"/>
                    <w:rPr>
                      <w:sz w:val="21"/>
                      <w:szCs w:val="21"/>
                    </w:rPr>
                  </w:pPr>
                  <w:r>
                    <w:rPr>
                      <w:rFonts w:hint="eastAsia"/>
                      <w:sz w:val="21"/>
                      <w:szCs w:val="21"/>
                    </w:rPr>
                    <w:t>貨　　　　　　物</w:t>
                  </w:r>
                </w:p>
              </w:tc>
              <w:tc>
                <w:tcPr>
                  <w:tcW w:w="236" w:type="dxa"/>
                  <w:vMerge w:val="restart"/>
                  <w:tcBorders>
                    <w:top w:val="nil"/>
                    <w:bottom w:val="nil"/>
                  </w:tcBorders>
                  <w:vAlign w:val="top"/>
                </w:tcPr>
                <w:p>
                  <w:pPr>
                    <w:rPr>
                      <w:sz w:val="21"/>
                      <w:szCs w:val="21"/>
                    </w:rPr>
                  </w:pP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556" w:type="dxa"/>
                  <w:vMerge w:val="continue"/>
                  <w:vAlign w:val="top"/>
                </w:tcPr>
                <w:p>
                  <w:pPr>
                    <w:rPr>
                      <w:sz w:val="21"/>
                      <w:szCs w:val="21"/>
                    </w:rPr>
                  </w:pPr>
                </w:p>
              </w:tc>
              <w:tc>
                <w:tcPr>
                  <w:tcW w:w="854" w:type="dxa"/>
                  <w:vAlign w:val="top"/>
                </w:tcPr>
                <w:p>
                  <w:pPr>
                    <w:jc w:val="center"/>
                    <w:rPr>
                      <w:sz w:val="21"/>
                      <w:szCs w:val="21"/>
                    </w:rPr>
                  </w:pPr>
                  <w:r>
                    <w:rPr>
                      <w:rFonts w:hint="eastAsia"/>
                      <w:sz w:val="21"/>
                      <w:szCs w:val="21"/>
                    </w:rPr>
                    <w:t>項目</w:t>
                  </w:r>
                </w:p>
                <w:p>
                  <w:pPr>
                    <w:jc w:val="center"/>
                    <w:rPr>
                      <w:sz w:val="21"/>
                      <w:szCs w:val="21"/>
                    </w:rPr>
                  </w:pPr>
                  <w:r>
                    <w:rPr>
                      <w:rFonts w:hint="eastAsia"/>
                      <w:sz w:val="21"/>
                      <w:szCs w:val="21"/>
                    </w:rPr>
                    <w:t>番号</w:t>
                  </w:r>
                </w:p>
              </w:tc>
              <w:tc>
                <w:tcPr>
                  <w:tcW w:w="1134" w:type="dxa"/>
                  <w:vAlign w:val="top"/>
                </w:tcPr>
                <w:p>
                  <w:pPr>
                    <w:jc w:val="center"/>
                    <w:rPr>
                      <w:sz w:val="21"/>
                      <w:szCs w:val="21"/>
                    </w:rPr>
                  </w:pPr>
                  <w:r>
                    <w:rPr>
                      <w:rFonts w:hint="eastAsia"/>
                      <w:sz w:val="21"/>
                      <w:szCs w:val="21"/>
                    </w:rPr>
                    <w:t>関税率表</w:t>
                  </w:r>
                </w:p>
                <w:p>
                  <w:pPr>
                    <w:jc w:val="center"/>
                    <w:rPr>
                      <w:sz w:val="21"/>
                      <w:szCs w:val="21"/>
                    </w:rPr>
                  </w:pPr>
                  <w:r>
                    <w:rPr>
                      <w:rFonts w:hint="eastAsia"/>
                      <w:sz w:val="21"/>
                      <w:szCs w:val="21"/>
                    </w:rPr>
                    <w:t>の番号等</w:t>
                  </w:r>
                </w:p>
              </w:tc>
              <w:tc>
                <w:tcPr>
                  <w:tcW w:w="2681" w:type="dxa"/>
                  <w:vAlign w:val="center"/>
                </w:tcPr>
                <w:p>
                  <w:pPr>
                    <w:jc w:val="center"/>
                    <w:rPr>
                      <w:sz w:val="21"/>
                      <w:szCs w:val="21"/>
                    </w:rPr>
                  </w:pPr>
                  <w:r>
                    <w:rPr>
                      <w:rFonts w:hint="eastAsia"/>
                      <w:sz w:val="21"/>
                      <w:szCs w:val="21"/>
                    </w:rPr>
                    <w:t>貨　物　名</w:t>
                  </w:r>
                </w:p>
              </w:tc>
              <w:tc>
                <w:tcPr>
                  <w:tcW w:w="236" w:type="dxa"/>
                  <w:vMerge w:val="continue"/>
                  <w:tcBorders>
                    <w:top w:val="nil"/>
                    <w:bottom w:val="nil"/>
                  </w:tcBorders>
                  <w:vAlign w:val="top"/>
                </w:tcPr>
                <w:p>
                  <w:pPr>
                    <w:rPr>
                      <w:sz w:val="21"/>
                      <w:szCs w:val="21"/>
                    </w:rPr>
                  </w:pP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556" w:type="dxa"/>
                  <w:vAlign w:val="top"/>
                </w:tcPr>
                <w:p>
                  <w:pPr>
                    <w:rPr>
                      <w:sz w:val="21"/>
                      <w:szCs w:val="21"/>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854" w:type="dxa"/>
                  <w:vAlign w:val="top"/>
                </w:tcPr>
                <w:p>
                  <w:pPr>
                    <w:rPr>
                      <w:sz w:val="21"/>
                      <w:szCs w:val="21"/>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1134" w:type="dxa"/>
                  <w:vAlign w:val="top"/>
                </w:tcPr>
                <w:p>
                  <w:pPr>
                    <w:rPr>
                      <w:sz w:val="21"/>
                      <w:szCs w:val="21"/>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2681" w:type="dxa"/>
                  <w:vAlign w:val="top"/>
                </w:tcPr>
                <w:p>
                  <w:pPr>
                    <w:rPr>
                      <w:sz w:val="21"/>
                      <w:szCs w:val="21"/>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236" w:type="dxa"/>
                  <w:vMerge w:val="continue"/>
                  <w:tcBorders>
                    <w:top w:val="nil"/>
                    <w:bottom w:val="nil"/>
                  </w:tcBorders>
                  <w:vAlign w:val="top"/>
                </w:tcPr>
                <w:p>
                  <w:pPr>
                    <w:rPr>
                      <w:sz w:val="21"/>
                      <w:szCs w:val="21"/>
                    </w:rPr>
                  </w:pP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1556" w:type="dxa"/>
                  <w:vAlign w:val="top"/>
                </w:tcPr>
                <w:p>
                  <w:pPr>
                    <w:rPr>
                      <w:sz w:val="21"/>
                      <w:szCs w:val="21"/>
                    </w:rPr>
                  </w:pPr>
                  <w:r>
                    <w:rPr>
                      <w:rFonts w:hint="default"/>
                      <w:sz w:val="21"/>
                      <w:szCs w:val="21"/>
                    </w:rPr>
                    <w:t>ロシア（原油及び石油製品についてはロシアを原産地 とする場合に限る。）</w:t>
                  </w:r>
                </w:p>
              </w:tc>
              <w:tc>
                <w:tcPr>
                  <w:tcW w:w="854" w:type="dxa"/>
                  <w:vAlign w:val="top"/>
                </w:tcPr>
                <w:p>
                  <w:pPr>
                    <w:rPr>
                      <w:sz w:val="21"/>
                      <w:szCs w:val="21"/>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1134" w:type="dxa"/>
                  <w:vAlign w:val="top"/>
                </w:tcPr>
                <w:p>
                  <w:pPr>
                    <w:rPr>
                      <w:sz w:val="21"/>
                      <w:szCs w:val="21"/>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2681" w:type="dxa"/>
                  <w:vAlign w:val="top"/>
                </w:tcPr>
                <w:p>
                  <w:pPr>
                    <w:rPr>
                      <w:sz w:val="21"/>
                      <w:szCs w:val="21"/>
                    </w:rPr>
                  </w:pPr>
                  <w:r>
                    <w:rPr>
                      <w:rFonts w:hint="eastAsia"/>
                      <w:sz w:val="21"/>
                      <w:szCs w:val="21"/>
                      <w:lang w:val="en-US" w:eastAsia="ja-JP"/>
                    </w:rPr>
                    <w:t>(</w:t>
                  </w:r>
                  <w:r>
                    <w:rPr>
                      <w:rFonts w:hint="eastAsia"/>
                      <w:sz w:val="21"/>
                      <w:szCs w:val="21"/>
                    </w:rPr>
                    <w:t>略</w:t>
                  </w:r>
                  <w:r>
                    <w:rPr>
                      <w:rFonts w:hint="eastAsia"/>
                      <w:sz w:val="21"/>
                      <w:szCs w:val="21"/>
                      <w:lang w:val="en-US" w:eastAsia="ja-JP"/>
                    </w:rPr>
                    <w:t>)</w:t>
                  </w:r>
                </w:p>
              </w:tc>
              <w:tc>
                <w:tcPr>
                  <w:tcW w:w="236" w:type="dxa"/>
                  <w:tcBorders>
                    <w:top w:val="nil"/>
                    <w:bottom w:val="nil"/>
                  </w:tcBorders>
                  <w:vAlign w:val="top"/>
                </w:tcPr>
                <w:p>
                  <w:pPr>
                    <w:rPr>
                      <w:sz w:val="21"/>
                      <w:szCs w:val="21"/>
                    </w:rPr>
                  </w:pP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5" w:hRule="atLeast"/>
              </w:trPr>
              <w:tc>
                <w:tcPr>
                  <w:tcW w:w="1556" w:type="dxa"/>
                  <w:tcBorders>
                    <w:bottom w:val="single" w:color="auto" w:sz="4" w:space="0"/>
                  </w:tcBorders>
                  <w:vAlign w:val="top"/>
                </w:tcPr>
                <w:p>
                  <w:pPr>
                    <w:rPr>
                      <w:sz w:val="21"/>
                      <w:szCs w:val="21"/>
                    </w:rPr>
                  </w:pPr>
                  <w:r>
                    <w:rPr>
                      <w:rFonts w:hint="eastAsia"/>
                      <w:sz w:val="21"/>
                      <w:szCs w:val="21"/>
                      <w:lang w:val="en-US" w:eastAsia="ja-JP"/>
                    </w:rPr>
                    <w:t>(</w:t>
                  </w:r>
                  <w:r>
                    <w:rPr>
                      <w:rFonts w:hint="eastAsia"/>
                      <w:sz w:val="21"/>
                      <w:szCs w:val="21"/>
                    </w:rPr>
                    <w:t>新設</w:t>
                  </w:r>
                  <w:r>
                    <w:rPr>
                      <w:rFonts w:hint="eastAsia"/>
                      <w:sz w:val="21"/>
                      <w:szCs w:val="21"/>
                      <w:lang w:val="en-US" w:eastAsia="ja-JP"/>
                    </w:rPr>
                    <w:t>)</w:t>
                  </w:r>
                </w:p>
              </w:tc>
              <w:tc>
                <w:tcPr>
                  <w:tcW w:w="854" w:type="dxa"/>
                  <w:tcBorders>
                    <w:bottom w:val="single" w:color="auto" w:sz="4" w:space="0"/>
                  </w:tcBorders>
                  <w:vAlign w:val="top"/>
                </w:tcPr>
                <w:p>
                  <w:pPr>
                    <w:jc w:val="center"/>
                    <w:rPr>
                      <w:sz w:val="21"/>
                      <w:szCs w:val="21"/>
                    </w:rPr>
                  </w:pPr>
                </w:p>
              </w:tc>
              <w:tc>
                <w:tcPr>
                  <w:tcW w:w="1134" w:type="dxa"/>
                  <w:tcBorders>
                    <w:bottom w:val="single" w:color="auto" w:sz="4" w:space="0"/>
                  </w:tcBorders>
                  <w:vAlign w:val="top"/>
                </w:tcPr>
                <w:p>
                  <w:pPr>
                    <w:jc w:val="center"/>
                    <w:rPr>
                      <w:sz w:val="21"/>
                      <w:szCs w:val="21"/>
                    </w:rPr>
                  </w:pPr>
                </w:p>
              </w:tc>
              <w:tc>
                <w:tcPr>
                  <w:tcW w:w="2681" w:type="dxa"/>
                  <w:tcBorders>
                    <w:bottom w:val="single" w:color="auto" w:sz="4" w:space="0"/>
                  </w:tcBorders>
                  <w:vAlign w:val="top"/>
                </w:tcPr>
                <w:p>
                  <w:pPr>
                    <w:rPr>
                      <w:sz w:val="21"/>
                      <w:szCs w:val="21"/>
                    </w:rPr>
                  </w:pPr>
                  <w:r>
                    <w:rPr>
                      <w:rFonts w:hint="eastAsia"/>
                      <w:sz w:val="21"/>
                      <w:szCs w:val="21"/>
                      <w:lang w:val="en-US" w:eastAsia="ja-JP"/>
                    </w:rPr>
                    <w:t>(</w:t>
                  </w:r>
                  <w:r>
                    <w:rPr>
                      <w:rFonts w:hint="eastAsia"/>
                      <w:sz w:val="21"/>
                      <w:szCs w:val="21"/>
                    </w:rPr>
                    <w:t>新設</w:t>
                  </w:r>
                  <w:r>
                    <w:rPr>
                      <w:rFonts w:hint="eastAsia"/>
                      <w:sz w:val="21"/>
                      <w:szCs w:val="21"/>
                      <w:lang w:val="en-US" w:eastAsia="ja-JP"/>
                    </w:rPr>
                    <w:t>)</w:t>
                  </w:r>
                </w:p>
              </w:tc>
              <w:tc>
                <w:tcPr>
                  <w:tcW w:w="236" w:type="dxa"/>
                  <w:tcBorders>
                    <w:top w:val="nil"/>
                    <w:bottom w:val="nil"/>
                  </w:tcBorders>
                  <w:vAlign w:val="top"/>
                </w:tcPr>
                <w:p>
                  <w:pPr>
                    <w:rPr>
                      <w:sz w:val="21"/>
                      <w:szCs w:val="21"/>
                    </w:rPr>
                  </w:pPr>
                </w:p>
              </w:tc>
            </w:tr>
          </w:tbl>
          <w:p>
            <w:pPr>
              <w:ind w:left="210" w:hanging="210" w:hangingChars="10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16" w:type="dxa"/>
            <w:tcBorders>
              <w:top w:val="nil"/>
              <w:bottom w:val="single" w:color="auto" w:sz="4" w:space="0"/>
            </w:tcBorders>
            <w:tcMar>
              <w:right w:w="0" w:type="dxa"/>
            </w:tcMar>
            <w:vAlign w:val="top"/>
          </w:tcPr>
          <w:p>
            <w:pPr>
              <w:rPr>
                <w:sz w:val="21"/>
                <w:szCs w:val="21"/>
              </w:rPr>
            </w:pPr>
            <w:bookmarkStart w:id="0" w:name="_GoBack" w:colFirst="0" w:colLast="1"/>
            <w:r>
              <w:rPr>
                <w:rFonts w:hint="eastAsia"/>
                <w:sz w:val="21"/>
                <w:szCs w:val="21"/>
              </w:rPr>
              <w:t>第２</w:t>
            </w:r>
            <w:r>
              <w:rPr>
                <w:rFonts w:hint="eastAsia"/>
                <w:sz w:val="21"/>
                <w:szCs w:val="21"/>
                <w:lang w:eastAsia="ja-JP"/>
              </w:rPr>
              <w:t>　</w:t>
            </w:r>
            <w:r>
              <w:rPr>
                <w:rFonts w:hint="eastAsia"/>
                <w:sz w:val="21"/>
                <w:szCs w:val="21"/>
              </w:rPr>
              <w:t>[略</w:t>
            </w:r>
            <w:r>
              <w:rPr>
                <w:sz w:val="21"/>
                <w:szCs w:val="21"/>
              </w:rPr>
              <w:t>]</w:t>
            </w:r>
          </w:p>
        </w:tc>
        <w:tc>
          <w:tcPr>
            <w:tcW w:w="6520" w:type="dxa"/>
            <w:tcBorders>
              <w:top w:val="nil"/>
              <w:bottom w:val="single" w:color="auto" w:sz="4" w:space="0"/>
            </w:tcBorders>
            <w:tcMar>
              <w:right w:w="0" w:type="dxa"/>
            </w:tcMar>
            <w:vAlign w:val="top"/>
          </w:tcPr>
          <w:p>
            <w:pPr>
              <w:rPr>
                <w:sz w:val="21"/>
                <w:szCs w:val="21"/>
              </w:rPr>
            </w:pPr>
            <w:r>
              <w:rPr>
                <w:rFonts w:hint="eastAsia"/>
                <w:sz w:val="21"/>
                <w:szCs w:val="21"/>
              </w:rPr>
              <w:t>第２</w:t>
            </w:r>
            <w:r>
              <w:rPr>
                <w:rFonts w:hint="eastAsia"/>
                <w:sz w:val="21"/>
                <w:szCs w:val="21"/>
                <w:lang w:eastAsia="ja-JP"/>
              </w:rPr>
              <w:t>　</w:t>
            </w:r>
            <w:r>
              <w:rPr>
                <w:rFonts w:hint="eastAsia"/>
                <w:sz w:val="21"/>
                <w:szCs w:val="21"/>
              </w:rPr>
              <w:t>[略</w:t>
            </w:r>
            <w:r>
              <w:rPr>
                <w:sz w:val="21"/>
                <w:szCs w:val="21"/>
              </w:rPr>
              <w:t>]</w:t>
            </w:r>
          </w:p>
        </w:tc>
      </w:tr>
      <w:bookmarkEnd w:id="0"/>
    </w:tbl>
    <w:p>
      <w:pPr>
        <w:widowControl/>
        <w:ind w:firstLine="210" w:firstLineChars="100"/>
        <w:jc w:val="left"/>
        <w:rPr>
          <w:rFonts w:ascii="ＭＳ 明朝" w:hAnsi="ＭＳ 明朝"/>
          <w:sz w:val="21"/>
          <w:szCs w:val="21"/>
        </w:rPr>
        <w:sectPr>
          <w:pgSz w:w="16838" w:h="11906" w:orient="landscape"/>
          <w:pgMar w:top="1701" w:right="1985" w:bottom="1701" w:left="1701" w:header="851" w:footer="992" w:gutter="0"/>
          <w:pgBorders>
            <w:top w:val="none" w:color="auto" w:sz="0" w:space="0"/>
            <w:left w:val="none" w:color="auto" w:sz="0" w:space="0"/>
            <w:bottom w:val="none" w:color="auto" w:sz="0" w:space="0"/>
            <w:right w:val="none" w:color="auto" w:sz="0" w:space="0"/>
          </w:pgBorders>
          <w:cols w:space="720" w:num="1"/>
          <w:textDirection w:val="lrTbV"/>
          <w:docGrid w:type="lines" w:linePitch="360" w:charSpace="0"/>
        </w:sectPr>
      </w:pPr>
    </w:p>
    <w:p>
      <w:pPr>
        <w:pStyle w:val="6"/>
        <w:jc w:val="right"/>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令和7年9月28日20250917貿局第</w:t>
      </w:r>
      <w:r>
        <w:rPr>
          <w:rFonts w:hint="eastAsia" w:hAnsi="ＭＳ 明朝" w:cs="ＭＳ ゴシック"/>
          <w:sz w:val="21"/>
          <w:szCs w:val="21"/>
          <w:lang w:val="en-US" w:eastAsia="ja-JP"/>
        </w:rPr>
        <w:t>2</w:t>
      </w:r>
      <w:r>
        <w:rPr>
          <w:rFonts w:hint="eastAsia" w:ascii="ＭＳ 明朝" w:hAnsi="ＭＳ 明朝" w:eastAsia="ＭＳ 明朝" w:cs="ＭＳ ゴシック"/>
          <w:sz w:val="21"/>
          <w:szCs w:val="21"/>
        </w:rPr>
        <w:t>号</w:t>
      </w:r>
    </w:p>
    <w:p>
      <w:pPr>
        <w:pStyle w:val="6"/>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財務省関税局長　殿</w:t>
      </w:r>
    </w:p>
    <w:p>
      <w:pPr>
        <w:pStyle w:val="6"/>
        <w:rPr>
          <w:rFonts w:ascii="ＭＳ 明朝" w:hAnsi="ＭＳ 明朝" w:eastAsia="ＭＳ 明朝" w:cs="ＭＳ ゴシック"/>
          <w:sz w:val="21"/>
          <w:szCs w:val="21"/>
        </w:rPr>
      </w:pPr>
    </w:p>
    <w:p>
      <w:pPr>
        <w:pStyle w:val="6"/>
        <w:rPr>
          <w:rFonts w:ascii="ＭＳ 明朝" w:hAnsi="ＭＳ 明朝" w:eastAsia="ＭＳ 明朝" w:cs="ＭＳ ゴシック"/>
          <w:sz w:val="21"/>
          <w:szCs w:val="21"/>
        </w:rPr>
      </w:pPr>
    </w:p>
    <w:p>
      <w:pPr>
        <w:pStyle w:val="6"/>
        <w:ind w:leftChars="2000"/>
        <w:jc w:val="center"/>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経済産業省貿易経済安全保障局長</w:t>
      </w:r>
    </w:p>
    <w:p>
      <w:pPr>
        <w:pStyle w:val="6"/>
        <w:rPr>
          <w:rFonts w:ascii="ＭＳ 明朝" w:hAnsi="ＭＳ 明朝" w:eastAsia="ＭＳ 明朝" w:cs="ＭＳ ゴシック"/>
          <w:sz w:val="21"/>
          <w:szCs w:val="21"/>
        </w:rPr>
      </w:pPr>
    </w:p>
    <w:p>
      <w:pPr>
        <w:pStyle w:val="6"/>
        <w:rPr>
          <w:rFonts w:ascii="ＭＳ 明朝" w:hAnsi="ＭＳ 明朝" w:eastAsia="ＭＳ 明朝" w:cs="ＭＳ ゴシック"/>
          <w:sz w:val="21"/>
          <w:szCs w:val="21"/>
        </w:rPr>
      </w:pPr>
    </w:p>
    <w:p>
      <w:pPr>
        <w:pStyle w:val="6"/>
        <w:rPr>
          <w:rFonts w:ascii="ＭＳ 明朝" w:hAnsi="ＭＳ 明朝" w:eastAsia="ＭＳ 明朝" w:cs="ＭＳ ゴシック"/>
          <w:sz w:val="21"/>
          <w:szCs w:val="21"/>
        </w:rPr>
      </w:pPr>
    </w:p>
    <w:p>
      <w:pPr>
        <w:pStyle w:val="6"/>
        <w:ind w:leftChars="500"/>
        <w:jc w:val="both"/>
        <w:rPr>
          <w:rFonts w:hint="eastAsia" w:ascii="ＭＳ 明朝" w:hAnsi="ＭＳ 明朝" w:eastAsia="ＭＳ 明朝" w:cs="ＭＳ ゴシック"/>
          <w:sz w:val="21"/>
          <w:szCs w:val="21"/>
        </w:rPr>
      </w:pPr>
      <w:r>
        <w:rPr>
          <w:rFonts w:hint="eastAsia" w:ascii="ＭＳ 明朝" w:hAnsi="ＭＳ 明朝" w:eastAsia="ＭＳ 明朝" w:cs="ＭＳ ゴシック"/>
          <w:sz w:val="21"/>
          <w:szCs w:val="21"/>
        </w:rPr>
        <w:t>「イランを原産地又は船積地域とする貨物の二号承認制への追加に</w:t>
      </w:r>
    </w:p>
    <w:p>
      <w:pPr>
        <w:pStyle w:val="6"/>
        <w:ind w:leftChars="500"/>
        <w:jc w:val="both"/>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ついて」の制定について</w:t>
      </w:r>
    </w:p>
    <w:p>
      <w:pPr>
        <w:pStyle w:val="6"/>
        <w:rPr>
          <w:rFonts w:ascii="ＭＳ 明朝" w:hAnsi="ＭＳ 明朝" w:eastAsia="ＭＳ 明朝" w:cs="ＭＳ ゴシック"/>
          <w:sz w:val="21"/>
          <w:szCs w:val="21"/>
        </w:rPr>
      </w:pPr>
    </w:p>
    <w:p>
      <w:pPr>
        <w:pStyle w:val="6"/>
        <w:widowControl w:val="0"/>
        <w:wordWrap/>
        <w:adjustRightInd/>
        <w:snapToGrid/>
        <w:spacing w:line="240" w:lineRule="auto"/>
        <w:ind w:left="0" w:leftChars="0" w:right="0" w:firstLine="210" w:firstLineChars="100"/>
        <w:jc w:val="both"/>
        <w:textAlignment w:val="auto"/>
        <w:outlineLvl w:val="9"/>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上記の件について、別紙のとおり改正しましたので通知します。</w:t>
      </w:r>
    </w:p>
    <w:p>
      <w:pPr>
        <w:pStyle w:val="6"/>
        <w:rPr>
          <w:rFonts w:ascii="ＭＳ 明朝" w:hAnsi="ＭＳ 明朝" w:eastAsia="ＭＳ 明朝" w:cs="ＭＳ ゴシック"/>
          <w:sz w:val="21"/>
          <w:szCs w:val="21"/>
        </w:rPr>
      </w:pPr>
    </w:p>
    <w:p>
      <w:pPr>
        <w:widowControl/>
        <w:jc w:val="left"/>
        <w:rPr>
          <w:rFonts w:ascii="ＭＳ 明朝" w:hAnsi="ＭＳ 明朝" w:cs="ＭＳ ゴシック"/>
          <w:sz w:val="21"/>
          <w:szCs w:val="21"/>
        </w:rPr>
      </w:pPr>
      <w:r>
        <w:rPr>
          <w:rFonts w:ascii="ＭＳ 明朝" w:hAnsi="ＭＳ 明朝" w:cs="ＭＳ ゴシック"/>
          <w:sz w:val="21"/>
          <w:szCs w:val="21"/>
        </w:rPr>
        <w:br w:type="page"/>
      </w:r>
    </w:p>
    <w:p>
      <w:pPr>
        <w:pStyle w:val="6"/>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 xml:space="preserve">「イランを原産地又は船積地域とする貨物の二号承認制への追加について」を次のとおり制定する。 </w:t>
      </w:r>
    </w:p>
    <w:p>
      <w:pPr>
        <w:pStyle w:val="6"/>
        <w:rPr>
          <w:rFonts w:ascii="ＭＳ 明朝" w:hAnsi="ＭＳ 明朝" w:eastAsia="ＭＳ 明朝" w:cs="ＭＳ ゴシック"/>
          <w:sz w:val="21"/>
          <w:szCs w:val="21"/>
        </w:rPr>
      </w:pPr>
    </w:p>
    <w:p>
      <w:pPr>
        <w:pStyle w:val="6"/>
        <w:jc w:val="right"/>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令和7年9月28日20250917貿局第</w:t>
      </w:r>
      <w:r>
        <w:rPr>
          <w:rFonts w:hint="eastAsia" w:hAnsi="ＭＳ 明朝" w:cs="ＭＳ ゴシック"/>
          <w:sz w:val="21"/>
          <w:szCs w:val="21"/>
          <w:lang w:val="en-US" w:eastAsia="ja-JP"/>
        </w:rPr>
        <w:t>2</w:t>
      </w:r>
      <w:r>
        <w:rPr>
          <w:rFonts w:hint="eastAsia" w:ascii="ＭＳ 明朝" w:hAnsi="ＭＳ 明朝" w:eastAsia="ＭＳ 明朝" w:cs="ＭＳ ゴシック"/>
          <w:sz w:val="21"/>
          <w:szCs w:val="21"/>
        </w:rPr>
        <w:t>号</w:t>
      </w:r>
    </w:p>
    <w:p>
      <w:pPr>
        <w:pStyle w:val="6"/>
        <w:jc w:val="right"/>
        <w:rPr>
          <w:rFonts w:hint="eastAsia" w:ascii="ＭＳ 明朝" w:hAnsi="ＭＳ 明朝" w:eastAsia="ＭＳ 明朝" w:cs="ＭＳ ゴシック"/>
          <w:sz w:val="21"/>
          <w:szCs w:val="21"/>
        </w:rPr>
      </w:pPr>
      <w:r>
        <w:rPr>
          <w:rFonts w:hint="eastAsia" w:ascii="ＭＳ 明朝" w:hAnsi="ＭＳ 明朝" w:eastAsia="ＭＳ 明朝" w:cs="ＭＳ ゴシック"/>
          <w:sz w:val="21"/>
          <w:szCs w:val="21"/>
        </w:rPr>
        <w:t>輸入注意事項2025第9号</w:t>
      </w:r>
    </w:p>
    <w:p>
      <w:pPr>
        <w:pStyle w:val="6"/>
        <w:rPr>
          <w:rFonts w:hint="eastAsia" w:ascii="ＭＳ 明朝" w:hAnsi="ＭＳ 明朝" w:eastAsia="ＭＳ 明朝" w:cs="ＭＳ ゴシック"/>
          <w:sz w:val="21"/>
          <w:szCs w:val="21"/>
        </w:rPr>
      </w:pPr>
    </w:p>
    <w:p>
      <w:pPr>
        <w:pStyle w:val="6"/>
        <w:jc w:val="right"/>
        <w:rPr>
          <w:rFonts w:hint="eastAsia" w:ascii="ＭＳ 明朝" w:hAnsi="ＭＳ 明朝" w:eastAsia="ＭＳ 明朝" w:cs="ＭＳ ゴシック"/>
          <w:sz w:val="21"/>
          <w:szCs w:val="21"/>
        </w:rPr>
      </w:pPr>
      <w:r>
        <w:rPr>
          <w:rFonts w:hint="eastAsia" w:ascii="ＭＳ 明朝" w:hAnsi="ＭＳ 明朝" w:eastAsia="ＭＳ 明朝" w:cs="ＭＳ ゴシック"/>
          <w:sz w:val="21"/>
          <w:szCs w:val="21"/>
        </w:rPr>
        <w:t>経済産業省貿易経済安全保障局長　成田　達治</w:t>
      </w:r>
    </w:p>
    <w:p>
      <w:pPr>
        <w:pStyle w:val="6"/>
        <w:rPr>
          <w:rFonts w:hint="eastAsia" w:ascii="ＭＳ 明朝" w:hAnsi="ＭＳ 明朝" w:eastAsia="ＭＳ 明朝" w:cs="ＭＳ ゴシック"/>
          <w:sz w:val="21"/>
          <w:szCs w:val="21"/>
        </w:rPr>
      </w:pPr>
    </w:p>
    <w:p>
      <w:pPr>
        <w:pStyle w:val="6"/>
        <w:jc w:val="center"/>
        <w:rPr>
          <w:rFonts w:hint="eastAsia" w:ascii="ＭＳ 明朝" w:hAnsi="ＭＳ 明朝" w:eastAsia="ＭＳ 明朝" w:cs="ＭＳ ゴシック"/>
          <w:sz w:val="21"/>
          <w:szCs w:val="21"/>
        </w:rPr>
      </w:pPr>
      <w:r>
        <w:rPr>
          <w:rFonts w:hint="eastAsia" w:ascii="ＭＳ 明朝" w:hAnsi="ＭＳ 明朝" w:eastAsia="ＭＳ 明朝" w:cs="ＭＳ ゴシック"/>
          <w:sz w:val="21"/>
          <w:szCs w:val="21"/>
        </w:rPr>
        <w:t>「イランを原産地又は船積地域とする貨物の二号承認制への追加について」</w:t>
      </w:r>
    </w:p>
    <w:p>
      <w:pPr>
        <w:pStyle w:val="6"/>
        <w:rPr>
          <w:rFonts w:hint="eastAsia" w:ascii="ＭＳ 明朝" w:hAnsi="ＭＳ 明朝" w:eastAsia="ＭＳ 明朝" w:cs="ＭＳ ゴシック"/>
          <w:sz w:val="21"/>
          <w:szCs w:val="21"/>
        </w:rPr>
      </w:pPr>
    </w:p>
    <w:p>
      <w:pPr>
        <w:pStyle w:val="6"/>
        <w:widowControl w:val="0"/>
        <w:wordWrap/>
        <w:adjustRightInd/>
        <w:snapToGrid/>
        <w:spacing w:line="240" w:lineRule="auto"/>
        <w:ind w:left="0" w:leftChars="0" w:right="0" w:firstLine="210" w:firstLineChars="100"/>
        <w:jc w:val="both"/>
        <w:textAlignment w:val="auto"/>
        <w:outlineLvl w:val="9"/>
        <w:rPr>
          <w:rFonts w:hint="default" w:ascii="ＭＳ 明朝" w:hAnsi="ＭＳ 明朝" w:eastAsia="ＭＳ 明朝" w:cs="ＭＳ ゴシック"/>
          <w:sz w:val="21"/>
          <w:szCs w:val="21"/>
        </w:rPr>
      </w:pPr>
      <w:r>
        <w:rPr>
          <w:rFonts w:hint="default" w:ascii="ＭＳ 明朝" w:hAnsi="ＭＳ 明朝" w:eastAsia="ＭＳ 明朝" w:cs="ＭＳ ゴシック"/>
          <w:sz w:val="21"/>
          <w:szCs w:val="21"/>
        </w:rPr>
        <w:t>令和7年9月28日付け経済産業省告示第142号（輸入公表の一部を改正する告示）により、輸入公表の二の表の第１のイランの項に掲げる貨物については、令和7年9月29日以降、二号承認を受けるべき貨物となりました。</w:t>
      </w:r>
    </w:p>
    <w:p>
      <w:pPr>
        <w:pStyle w:val="6"/>
        <w:widowControl w:val="0"/>
        <w:wordWrap/>
        <w:adjustRightInd/>
        <w:snapToGrid/>
        <w:spacing w:line="240" w:lineRule="auto"/>
        <w:ind w:left="0" w:leftChars="0" w:right="0" w:firstLine="210" w:firstLineChars="100"/>
        <w:jc w:val="both"/>
        <w:textAlignment w:val="auto"/>
        <w:outlineLvl w:val="9"/>
        <w:rPr>
          <w:rFonts w:ascii="ＭＳ 明朝" w:hAnsi="ＭＳ 明朝" w:eastAsia="ＭＳ 明朝" w:cs="ＭＳ ゴシック"/>
          <w:sz w:val="21"/>
          <w:szCs w:val="21"/>
        </w:rPr>
      </w:pPr>
      <w:r>
        <w:rPr>
          <w:rFonts w:hint="default" w:ascii="ＭＳ 明朝" w:hAnsi="ＭＳ 明朝" w:eastAsia="ＭＳ 明朝" w:cs="ＭＳ ゴシック"/>
          <w:sz w:val="21"/>
          <w:szCs w:val="21"/>
        </w:rPr>
        <w:t>このため、令和7年9月28日以前に船積みされた場合を除き、国連安保理決議第1737号、第1747号に基づき輸入禁止措置をとるため、輸入承認は行いませんので注意してください。</w:t>
      </w:r>
    </w:p>
    <w:p>
      <w:pPr>
        <w:pStyle w:val="6"/>
        <w:jc w:val="right"/>
        <w:rPr>
          <w:rFonts w:ascii="ＭＳ 明朝" w:hAnsi="ＭＳ 明朝" w:eastAsia="ＭＳ 明朝" w:cs="ＭＳ ゴシック"/>
          <w:sz w:val="21"/>
          <w:szCs w:val="21"/>
        </w:rPr>
      </w:pPr>
      <w:r>
        <w:rPr>
          <w:rFonts w:ascii="ＭＳ 明朝" w:hAnsi="ＭＳ 明朝"/>
          <w:sz w:val="21"/>
          <w:szCs w:val="21"/>
        </w:rPr>
        <w:br w:type="page"/>
      </w:r>
      <w:r>
        <w:rPr>
          <w:rFonts w:hint="eastAsia" w:ascii="ＭＳ 明朝" w:hAnsi="ＭＳ 明朝" w:eastAsia="ＭＳ 明朝" w:cs="ＭＳ ゴシック"/>
          <w:sz w:val="21"/>
          <w:szCs w:val="21"/>
        </w:rPr>
        <w:t>令和7年9月28日20250917貿局第</w:t>
      </w:r>
      <w:r>
        <w:rPr>
          <w:rFonts w:hint="eastAsia" w:hAnsi="ＭＳ 明朝" w:cs="ＭＳ ゴシック"/>
          <w:sz w:val="21"/>
          <w:szCs w:val="21"/>
          <w:lang w:val="en-US" w:eastAsia="ja-JP"/>
        </w:rPr>
        <w:t>1</w:t>
      </w:r>
      <w:r>
        <w:rPr>
          <w:rFonts w:hint="eastAsia" w:ascii="ＭＳ 明朝" w:hAnsi="ＭＳ 明朝" w:eastAsia="ＭＳ 明朝" w:cs="ＭＳ ゴシック"/>
          <w:sz w:val="21"/>
          <w:szCs w:val="21"/>
        </w:rPr>
        <w:t>号</w:t>
      </w:r>
    </w:p>
    <w:p>
      <w:pPr>
        <w:pStyle w:val="6"/>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財務省関税局長　殿</w:t>
      </w:r>
    </w:p>
    <w:p>
      <w:pPr>
        <w:pStyle w:val="6"/>
        <w:rPr>
          <w:rFonts w:ascii="ＭＳ 明朝" w:hAnsi="ＭＳ 明朝" w:eastAsia="ＭＳ 明朝" w:cs="ＭＳ ゴシック"/>
          <w:sz w:val="21"/>
          <w:szCs w:val="21"/>
        </w:rPr>
      </w:pPr>
    </w:p>
    <w:p>
      <w:pPr>
        <w:pStyle w:val="6"/>
        <w:rPr>
          <w:rFonts w:ascii="ＭＳ 明朝" w:hAnsi="ＭＳ 明朝" w:eastAsia="ＭＳ 明朝" w:cs="ＭＳ ゴシック"/>
          <w:sz w:val="21"/>
          <w:szCs w:val="21"/>
        </w:rPr>
      </w:pPr>
    </w:p>
    <w:p>
      <w:pPr>
        <w:pStyle w:val="6"/>
        <w:ind w:leftChars="2000"/>
        <w:jc w:val="center"/>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経済産業省貿易経済安全保障局長</w:t>
      </w:r>
    </w:p>
    <w:p>
      <w:pPr>
        <w:pStyle w:val="6"/>
        <w:rPr>
          <w:rFonts w:ascii="ＭＳ 明朝" w:hAnsi="ＭＳ 明朝" w:eastAsia="ＭＳ 明朝" w:cs="ＭＳ ゴシック"/>
          <w:sz w:val="21"/>
          <w:szCs w:val="21"/>
        </w:rPr>
      </w:pPr>
    </w:p>
    <w:p>
      <w:pPr>
        <w:pStyle w:val="6"/>
        <w:rPr>
          <w:rFonts w:ascii="ＭＳ 明朝" w:hAnsi="ＭＳ 明朝" w:eastAsia="ＭＳ 明朝" w:cs="ＭＳ ゴシック"/>
          <w:sz w:val="21"/>
          <w:szCs w:val="21"/>
        </w:rPr>
      </w:pPr>
    </w:p>
    <w:p>
      <w:pPr>
        <w:pStyle w:val="6"/>
        <w:rPr>
          <w:rFonts w:ascii="ＭＳ 明朝" w:hAnsi="ＭＳ 明朝" w:eastAsia="ＭＳ 明朝" w:cs="ＭＳ ゴシック"/>
          <w:sz w:val="21"/>
          <w:szCs w:val="21"/>
        </w:rPr>
      </w:pPr>
    </w:p>
    <w:p>
      <w:pPr>
        <w:pStyle w:val="6"/>
        <w:ind w:leftChars="200"/>
        <w:jc w:val="both"/>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「国際連合安全保障理事会決議第2231号に基づくイラン向け大量破壊兵器等関連貨物の輸出等について」の一部改正について</w:t>
      </w:r>
    </w:p>
    <w:p>
      <w:pPr>
        <w:pStyle w:val="6"/>
        <w:rPr>
          <w:rFonts w:ascii="ＭＳ 明朝" w:hAnsi="ＭＳ 明朝" w:eastAsia="ＭＳ 明朝" w:cs="ＭＳ ゴシック"/>
          <w:sz w:val="21"/>
          <w:szCs w:val="21"/>
        </w:rPr>
      </w:pPr>
    </w:p>
    <w:p>
      <w:pPr>
        <w:pStyle w:val="6"/>
        <w:widowControl w:val="0"/>
        <w:wordWrap/>
        <w:adjustRightInd/>
        <w:snapToGrid/>
        <w:spacing w:line="240" w:lineRule="auto"/>
        <w:ind w:left="0" w:leftChars="0" w:right="0" w:firstLine="210" w:firstLineChars="100"/>
        <w:jc w:val="both"/>
        <w:textAlignment w:val="auto"/>
        <w:outlineLvl w:val="9"/>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上記の件について、別紙のとおり改正しましたので通知します。</w:t>
      </w:r>
    </w:p>
    <w:p>
      <w:pPr>
        <w:pStyle w:val="6"/>
        <w:rPr>
          <w:rFonts w:ascii="ＭＳ 明朝" w:hAnsi="ＭＳ 明朝" w:eastAsia="ＭＳ 明朝" w:cs="ＭＳ ゴシック"/>
          <w:sz w:val="21"/>
          <w:szCs w:val="21"/>
        </w:rPr>
      </w:pPr>
    </w:p>
    <w:p>
      <w:pPr>
        <w:widowControl/>
        <w:jc w:val="left"/>
        <w:rPr>
          <w:rFonts w:ascii="ＭＳ 明朝" w:hAnsi="ＭＳ 明朝" w:cs="ＭＳ ゴシック"/>
          <w:sz w:val="21"/>
          <w:szCs w:val="21"/>
        </w:rPr>
      </w:pPr>
      <w:r>
        <w:rPr>
          <w:rFonts w:ascii="ＭＳ 明朝" w:hAnsi="ＭＳ 明朝" w:cs="ＭＳ ゴシック"/>
          <w:sz w:val="21"/>
          <w:szCs w:val="21"/>
        </w:rPr>
        <w:br w:type="page"/>
      </w:r>
    </w:p>
    <w:p>
      <w:pPr>
        <w:pStyle w:val="6"/>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「国際連合安全保障理事会決議第2231号に基づくイラン向け大量破壊兵器等関連貨物の輸出等について」（平成28年1月22日付け輸出注意事項28第2号）の一部を改正する通達を次のとおり制定する。</w:t>
      </w:r>
    </w:p>
    <w:p>
      <w:pPr>
        <w:pStyle w:val="6"/>
        <w:rPr>
          <w:rFonts w:ascii="ＭＳ 明朝" w:hAnsi="ＭＳ 明朝" w:eastAsia="ＭＳ 明朝" w:cs="ＭＳ ゴシック"/>
          <w:sz w:val="21"/>
          <w:szCs w:val="21"/>
        </w:rPr>
      </w:pPr>
    </w:p>
    <w:p>
      <w:pPr>
        <w:pStyle w:val="6"/>
        <w:jc w:val="right"/>
        <w:rPr>
          <w:rFonts w:ascii="ＭＳ 明朝" w:hAnsi="ＭＳ 明朝" w:eastAsia="ＭＳ 明朝" w:cs="ＭＳ ゴシック"/>
          <w:sz w:val="21"/>
          <w:szCs w:val="21"/>
        </w:rPr>
      </w:pPr>
      <w:r>
        <w:rPr>
          <w:rFonts w:hint="eastAsia" w:ascii="ＭＳ 明朝" w:hAnsi="ＭＳ 明朝" w:eastAsia="ＭＳ 明朝" w:cs="ＭＳ ゴシック"/>
          <w:sz w:val="21"/>
          <w:szCs w:val="21"/>
        </w:rPr>
        <w:t>令和7年9月28日20250917貿局第</w:t>
      </w:r>
      <w:r>
        <w:rPr>
          <w:rFonts w:hint="eastAsia" w:hAnsi="ＭＳ 明朝" w:cs="ＭＳ ゴシック"/>
          <w:sz w:val="21"/>
          <w:szCs w:val="21"/>
          <w:lang w:val="en-US" w:eastAsia="ja-JP"/>
        </w:rPr>
        <w:t>1</w:t>
      </w:r>
      <w:r>
        <w:rPr>
          <w:rFonts w:hint="eastAsia" w:ascii="ＭＳ 明朝" w:hAnsi="ＭＳ 明朝" w:eastAsia="ＭＳ 明朝" w:cs="ＭＳ ゴシック"/>
          <w:sz w:val="21"/>
          <w:szCs w:val="21"/>
        </w:rPr>
        <w:t>号</w:t>
      </w:r>
    </w:p>
    <w:p>
      <w:pPr>
        <w:pStyle w:val="6"/>
        <w:jc w:val="right"/>
        <w:rPr>
          <w:rFonts w:hint="eastAsia" w:ascii="ＭＳ 明朝" w:hAnsi="ＭＳ 明朝" w:eastAsia="ＭＳ 明朝" w:cs="ＭＳ ゴシック"/>
          <w:sz w:val="21"/>
          <w:szCs w:val="21"/>
        </w:rPr>
      </w:pPr>
      <w:r>
        <w:rPr>
          <w:rFonts w:hint="eastAsia" w:ascii="ＭＳ 明朝" w:hAnsi="ＭＳ 明朝" w:eastAsia="ＭＳ 明朝" w:cs="ＭＳ ゴシック"/>
          <w:sz w:val="21"/>
          <w:szCs w:val="21"/>
        </w:rPr>
        <w:t>輸出注意事項2025第</w:t>
      </w:r>
      <w:r>
        <w:rPr>
          <w:rFonts w:hint="eastAsia" w:hAnsi="ＭＳ 明朝" w:cs="ＭＳ ゴシック"/>
          <w:sz w:val="21"/>
          <w:szCs w:val="21"/>
          <w:lang w:val="en-US" w:eastAsia="ja-JP"/>
        </w:rPr>
        <w:t>1</w:t>
      </w:r>
      <w:r>
        <w:rPr>
          <w:rFonts w:hint="eastAsia" w:ascii="ＭＳ 明朝" w:hAnsi="ＭＳ 明朝" w:eastAsia="ＭＳ 明朝" w:cs="ＭＳ ゴシック"/>
          <w:sz w:val="21"/>
          <w:szCs w:val="21"/>
        </w:rPr>
        <w:t>9号</w:t>
      </w:r>
    </w:p>
    <w:p>
      <w:pPr>
        <w:pStyle w:val="6"/>
        <w:rPr>
          <w:rFonts w:hint="eastAsia" w:ascii="ＭＳ 明朝" w:hAnsi="ＭＳ 明朝" w:eastAsia="ＭＳ 明朝" w:cs="ＭＳ ゴシック"/>
          <w:sz w:val="21"/>
          <w:szCs w:val="21"/>
        </w:rPr>
      </w:pPr>
    </w:p>
    <w:p>
      <w:pPr>
        <w:pStyle w:val="6"/>
        <w:jc w:val="right"/>
        <w:rPr>
          <w:rFonts w:hint="eastAsia" w:ascii="ＭＳ 明朝" w:hAnsi="ＭＳ 明朝" w:eastAsia="ＭＳ 明朝" w:cs="ＭＳ ゴシック"/>
          <w:sz w:val="21"/>
          <w:szCs w:val="21"/>
        </w:rPr>
      </w:pPr>
      <w:r>
        <w:rPr>
          <w:rFonts w:hint="eastAsia" w:ascii="ＭＳ 明朝" w:hAnsi="ＭＳ 明朝" w:eastAsia="ＭＳ 明朝" w:cs="ＭＳ ゴシック"/>
          <w:sz w:val="21"/>
          <w:szCs w:val="21"/>
        </w:rPr>
        <w:t>経済産業省貿易経済安全保障局長　成田　達治</w:t>
      </w:r>
    </w:p>
    <w:p>
      <w:pPr>
        <w:pStyle w:val="6"/>
        <w:rPr>
          <w:rFonts w:hint="eastAsia" w:ascii="ＭＳ 明朝" w:hAnsi="ＭＳ 明朝" w:eastAsia="ＭＳ 明朝" w:cs="ＭＳ ゴシック"/>
          <w:sz w:val="21"/>
          <w:szCs w:val="21"/>
        </w:rPr>
      </w:pPr>
    </w:p>
    <w:p>
      <w:pPr>
        <w:pStyle w:val="6"/>
        <w:ind w:leftChars="200"/>
        <w:jc w:val="both"/>
        <w:rPr>
          <w:rFonts w:hint="eastAsia" w:ascii="ＭＳ 明朝" w:hAnsi="ＭＳ 明朝" w:eastAsia="ＭＳ 明朝" w:cs="ＭＳ ゴシック"/>
          <w:sz w:val="21"/>
          <w:szCs w:val="21"/>
        </w:rPr>
      </w:pPr>
      <w:r>
        <w:rPr>
          <w:rFonts w:hint="eastAsia" w:ascii="ＭＳ 明朝" w:hAnsi="ＭＳ 明朝" w:eastAsia="ＭＳ 明朝" w:cs="ＭＳ ゴシック"/>
          <w:sz w:val="21"/>
          <w:szCs w:val="21"/>
        </w:rPr>
        <w:t xml:space="preserve">「国際連合安全保障理事会決議第2231号に基づくイラン向け大量破壊兵器等関連貨物の輸出等について」の一部改正について </w:t>
      </w:r>
    </w:p>
    <w:p>
      <w:pPr>
        <w:pStyle w:val="6"/>
        <w:rPr>
          <w:rFonts w:hint="eastAsia" w:ascii="ＭＳ 明朝" w:hAnsi="ＭＳ 明朝" w:eastAsia="ＭＳ 明朝" w:cs="ＭＳ ゴシック"/>
          <w:sz w:val="21"/>
          <w:szCs w:val="21"/>
        </w:rPr>
      </w:pPr>
    </w:p>
    <w:p>
      <w:pPr>
        <w:pStyle w:val="6"/>
        <w:widowControl w:val="0"/>
        <w:wordWrap/>
        <w:adjustRightInd/>
        <w:snapToGrid/>
        <w:spacing w:line="240" w:lineRule="auto"/>
        <w:ind w:left="0" w:leftChars="0" w:right="0" w:firstLine="210" w:firstLineChars="100"/>
        <w:jc w:val="both"/>
        <w:textAlignment w:val="auto"/>
        <w:outlineLvl w:val="9"/>
        <w:rPr>
          <w:rFonts w:hint="default" w:ascii="ＭＳ 明朝" w:hAnsi="ＭＳ 明朝" w:eastAsia="ＭＳ 明朝" w:cs="ＭＳ ゴシック"/>
          <w:sz w:val="21"/>
          <w:szCs w:val="21"/>
        </w:rPr>
      </w:pPr>
      <w:r>
        <w:rPr>
          <w:rFonts w:hint="default" w:ascii="ＭＳ 明朝" w:hAnsi="ＭＳ 明朝" w:eastAsia="ＭＳ 明朝" w:cs="ＭＳ ゴシック"/>
          <w:sz w:val="21"/>
          <w:szCs w:val="21"/>
        </w:rPr>
        <w:t>「国際連合安全保障理事会決議第2231号に基づくイラン向け大量破壊兵器等関連貨物の輸出等について」（平成28年1月22日付け輸出注意事項28第2号）の一部を別紙の新旧対照表のとおり改正する。</w:t>
      </w:r>
    </w:p>
    <w:p>
      <w:pPr>
        <w:pStyle w:val="6"/>
        <w:widowControl w:val="0"/>
        <w:wordWrap/>
        <w:adjustRightInd/>
        <w:snapToGrid/>
        <w:spacing w:line="240" w:lineRule="auto"/>
        <w:ind w:left="0" w:leftChars="100" w:right="0" w:firstLine="210" w:firstLineChars="100"/>
        <w:jc w:val="both"/>
        <w:textAlignment w:val="auto"/>
        <w:outlineLvl w:val="9"/>
        <w:rPr>
          <w:rFonts w:hint="default" w:ascii="ＭＳ 明朝" w:hAnsi="ＭＳ 明朝" w:eastAsia="ＭＳ 明朝" w:cs="ＭＳ ゴシック"/>
          <w:sz w:val="21"/>
          <w:szCs w:val="21"/>
        </w:rPr>
      </w:pPr>
      <w:r>
        <w:rPr>
          <w:rFonts w:hint="default" w:ascii="ＭＳ 明朝" w:hAnsi="ＭＳ 明朝" w:eastAsia="ＭＳ 明朝" w:cs="ＭＳ ゴシック"/>
          <w:sz w:val="21"/>
          <w:szCs w:val="21"/>
        </w:rPr>
        <w:t>附　則</w:t>
      </w:r>
    </w:p>
    <w:p>
      <w:pPr>
        <w:pStyle w:val="6"/>
        <w:widowControl w:val="0"/>
        <w:wordWrap/>
        <w:adjustRightInd/>
        <w:snapToGrid/>
        <w:spacing w:line="240" w:lineRule="auto"/>
        <w:ind w:left="0" w:leftChars="0" w:right="0" w:firstLine="210" w:firstLineChars="100"/>
        <w:jc w:val="both"/>
        <w:textAlignment w:val="auto"/>
        <w:outlineLvl w:val="9"/>
        <w:rPr>
          <w:rFonts w:hint="default" w:ascii="ＭＳ 明朝" w:hAnsi="ＭＳ 明朝" w:eastAsia="ＭＳ 明朝" w:cs="ＭＳ ゴシック"/>
          <w:sz w:val="21"/>
          <w:szCs w:val="21"/>
        </w:rPr>
      </w:pPr>
      <w:r>
        <w:rPr>
          <w:rFonts w:hint="default" w:ascii="ＭＳ 明朝" w:hAnsi="ＭＳ 明朝" w:eastAsia="ＭＳ 明朝" w:cs="ＭＳ ゴシック"/>
          <w:sz w:val="21"/>
          <w:szCs w:val="21"/>
        </w:rPr>
        <w:t>この通達は、令和7年9月28日付け公布し、翌日から施行する。</w:t>
      </w:r>
    </w:p>
    <w:p>
      <w:pPr>
        <w:pStyle w:val="6"/>
        <w:widowControl w:val="0"/>
        <w:wordWrap/>
        <w:adjustRightInd/>
        <w:snapToGrid/>
        <w:spacing w:line="240" w:lineRule="auto"/>
        <w:ind w:left="0" w:leftChars="0" w:right="0" w:firstLine="210" w:firstLineChars="100"/>
        <w:jc w:val="both"/>
        <w:textAlignment w:val="auto"/>
        <w:outlineLvl w:val="9"/>
        <w:rPr>
          <w:rFonts w:hint="default" w:ascii="ＭＳ 明朝" w:hAnsi="ＭＳ 明朝" w:eastAsia="ＭＳ 明朝" w:cs="ＭＳ ゴシック"/>
          <w:sz w:val="21"/>
          <w:szCs w:val="21"/>
        </w:rPr>
      </w:pPr>
    </w:p>
    <w:p>
      <w:pPr>
        <w:pStyle w:val="6"/>
        <w:widowControl w:val="0"/>
        <w:wordWrap/>
        <w:adjustRightInd/>
        <w:snapToGrid/>
        <w:spacing w:line="240" w:lineRule="auto"/>
        <w:ind w:left="0" w:leftChars="0" w:right="0" w:firstLine="210" w:firstLineChars="100"/>
        <w:jc w:val="both"/>
        <w:textAlignment w:val="auto"/>
        <w:outlineLvl w:val="9"/>
        <w:rPr>
          <w:rFonts w:hint="default" w:ascii="ＭＳ 明朝" w:hAnsi="ＭＳ 明朝" w:eastAsia="ＭＳ 明朝" w:cs="ＭＳ ゴシック"/>
          <w:sz w:val="21"/>
          <w:szCs w:val="21"/>
        </w:rPr>
      </w:pPr>
    </w:p>
    <w:p>
      <w:pPr>
        <w:pStyle w:val="6"/>
        <w:widowControl w:val="0"/>
        <w:wordWrap/>
        <w:adjustRightInd/>
        <w:snapToGrid/>
        <w:spacing w:line="240" w:lineRule="auto"/>
        <w:ind w:left="0" w:leftChars="0" w:right="0" w:firstLine="210" w:firstLineChars="100"/>
        <w:jc w:val="both"/>
        <w:textAlignment w:val="auto"/>
        <w:outlineLvl w:val="9"/>
        <w:rPr>
          <w:rFonts w:hint="default" w:ascii="ＭＳ 明朝" w:hAnsi="ＭＳ 明朝" w:eastAsia="ＭＳ 明朝" w:cs="ＭＳ ゴシック"/>
          <w:sz w:val="21"/>
          <w:szCs w:val="21"/>
        </w:rPr>
      </w:pPr>
    </w:p>
    <w:p>
      <w:pPr>
        <w:widowControl/>
        <w:ind w:firstLine="240" w:firstLineChars="100"/>
        <w:jc w:val="left"/>
        <w:rPr>
          <w:rFonts w:ascii="ＭＳ 明朝" w:hAnsi="ＭＳ 明朝"/>
          <w:sz w:val="24"/>
          <w:szCs w:val="24"/>
        </w:rPr>
      </w:pPr>
      <w:r>
        <w:rPr>
          <w:rFonts w:ascii="ＭＳ 明朝" w:hAnsi="ＭＳ 明朝"/>
          <w:sz w:val="24"/>
          <w:szCs w:val="24"/>
        </w:rPr>
        <w:br w:type="page"/>
      </w:r>
    </w:p>
    <w:p>
      <w:pPr>
        <w:widowControl/>
        <w:ind w:firstLine="240" w:firstLineChars="100"/>
        <w:jc w:val="right"/>
        <w:rPr>
          <w:rFonts w:hint="default" w:ascii="ＭＳ 明朝" w:hAnsi="ＭＳ 明朝"/>
          <w:sz w:val="16"/>
          <w:szCs w:val="16"/>
        </w:rPr>
      </w:pPr>
      <w:r>
        <w:rPr>
          <w:rFonts w:hint="default" w:ascii="ＭＳ 明朝" w:hAnsi="ＭＳ 明朝"/>
          <w:sz w:val="16"/>
          <w:szCs w:val="16"/>
        </w:rPr>
        <w:t>（別紙）</w:t>
      </w:r>
    </w:p>
    <w:p>
      <w:pPr>
        <w:widowControl/>
        <w:ind w:firstLine="240" w:firstLineChars="100"/>
        <w:jc w:val="left"/>
        <w:rPr>
          <w:rFonts w:hint="default" w:ascii="ＭＳ 明朝" w:hAnsi="ＭＳ 明朝"/>
          <w:sz w:val="16"/>
          <w:szCs w:val="16"/>
        </w:rPr>
      </w:pPr>
      <w:r>
        <w:rPr>
          <w:rFonts w:hint="default" w:ascii="ＭＳ 明朝" w:hAnsi="ＭＳ 明朝"/>
          <w:sz w:val="16"/>
          <w:szCs w:val="16"/>
        </w:rPr>
        <w:t>「国際連合安全保障理事会決議第２２３１号に基づくイラン向け大量破壊兵器等関連貨物の輸出等について」の一部を改正する規程新旧対照表（傍線部分は改正部分）</w:t>
      </w:r>
    </w:p>
    <w:p>
      <w:pPr>
        <w:widowControl/>
        <w:ind w:firstLine="240" w:firstLineChars="100"/>
        <w:jc w:val="left"/>
        <w:rPr>
          <w:rFonts w:hint="default" w:ascii="ＭＳ 明朝" w:hAnsi="ＭＳ 明朝"/>
          <w:sz w:val="16"/>
          <w:szCs w:val="16"/>
        </w:rPr>
      </w:pPr>
      <w:r>
        <w:rPr>
          <w:rFonts w:hint="default" w:ascii="ＭＳ 明朝" w:hAnsi="ＭＳ 明朝"/>
          <w:sz w:val="16"/>
          <w:szCs w:val="16"/>
        </w:rPr>
        <w:t>〇国際連合安全保障理事会決議第２２３１号に基づくイラン向け大量破壊兵器等関連貨物の輸出等について（令和７年９月２８日付け輸出注意事項２０２５第１９号）</w:t>
      </w:r>
    </w:p>
    <w:tbl>
      <w:tblPr>
        <w:tblStyle w:val="10"/>
        <w:tblW w:w="86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8" w:type="dxa"/>
            <w:vAlign w:val="top"/>
          </w:tcPr>
          <w:p>
            <w:pPr>
              <w:widowControl/>
              <w:jc w:val="center"/>
              <w:rPr>
                <w:rFonts w:hint="default" w:ascii="ＭＳ 明朝" w:hAnsi="ＭＳ 明朝"/>
                <w:sz w:val="16"/>
                <w:szCs w:val="16"/>
              </w:rPr>
            </w:pPr>
            <w:r>
              <w:rPr>
                <w:rFonts w:hint="default" w:ascii="ＭＳ 明朝" w:hAnsi="ＭＳ 明朝"/>
                <w:sz w:val="16"/>
                <w:szCs w:val="16"/>
              </w:rPr>
              <w:t>改　正　後</w:t>
            </w:r>
          </w:p>
        </w:tc>
        <w:tc>
          <w:tcPr>
            <w:tcW w:w="4308" w:type="dxa"/>
            <w:vAlign w:val="top"/>
          </w:tcPr>
          <w:p>
            <w:pPr>
              <w:widowControl/>
              <w:jc w:val="center"/>
              <w:rPr>
                <w:rFonts w:hint="default" w:ascii="ＭＳ 明朝" w:hAnsi="ＭＳ 明朝"/>
                <w:sz w:val="16"/>
                <w:szCs w:val="16"/>
              </w:rPr>
            </w:pPr>
            <w:r>
              <w:rPr>
                <w:rFonts w:hint="default" w:ascii="ＭＳ 明朝" w:hAnsi="ＭＳ 明朝"/>
                <w:sz w:val="16"/>
                <w:szCs w:val="16"/>
              </w:rPr>
              <w:t>現</w:t>
            </w:r>
            <w:r>
              <w:rPr>
                <w:rFonts w:hint="eastAsia" w:ascii="ＭＳ 明朝" w:hAnsi="ＭＳ 明朝"/>
                <w:sz w:val="16"/>
                <w:szCs w:val="16"/>
                <w:lang w:eastAsia="ja-JP"/>
              </w:rPr>
              <w:t>　</w:t>
            </w:r>
            <w:r>
              <w:rPr>
                <w:rFonts w:hint="default" w:ascii="ＭＳ 明朝" w:hAnsi="ＭＳ 明朝"/>
                <w:sz w:val="16"/>
                <w:szCs w:val="16"/>
              </w:rPr>
              <w:t>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08" w:type="dxa"/>
            <w:vAlign w:val="top"/>
          </w:tcPr>
          <w:p>
            <w:pPr>
              <w:widowControl/>
              <w:ind w:firstLine="240" w:firstLineChars="100"/>
              <w:jc w:val="left"/>
              <w:rPr>
                <w:rFonts w:hint="default" w:ascii="ＭＳ 明朝" w:hAnsi="ＭＳ 明朝"/>
                <w:sz w:val="16"/>
                <w:szCs w:val="16"/>
              </w:rPr>
            </w:pPr>
            <w:r>
              <w:rPr>
                <w:rFonts w:hint="default" w:ascii="ＭＳ 明朝" w:hAnsi="ＭＳ 明朝"/>
                <w:sz w:val="16"/>
                <w:szCs w:val="16"/>
              </w:rPr>
              <w:t>平成27年7月20日（ニューヨーク現地時間）、国際連合安全保障理事会（以下「国連安保理」という。）において、イランの核問題に関する国連安保理決議第２２３１号が採択されました。同決議においては、イランとＥＵ３＋３が発表した「包括的共同作業計画」</w:t>
            </w:r>
            <w:r>
              <w:rPr>
                <w:rFonts w:hint="default" w:ascii="ＭＳ 明朝" w:hAnsi="ＭＳ 明朝"/>
                <w:sz w:val="16"/>
                <w:szCs w:val="16"/>
                <w:u w:val="single" w:color="auto"/>
              </w:rPr>
              <w:t>（以下「ＪＣＰＯＡ」という。）</w:t>
            </w:r>
            <w:r>
              <w:rPr>
                <w:rFonts w:hint="default" w:ascii="ＭＳ 明朝" w:hAnsi="ＭＳ 明朝"/>
                <w:sz w:val="16"/>
                <w:szCs w:val="16"/>
              </w:rPr>
              <w:t>の定める「履行の日」に効力を生ずる事項等が規定されております。</w:t>
            </w:r>
          </w:p>
          <w:p>
            <w:pPr>
              <w:widowControl/>
              <w:ind w:firstLine="240" w:firstLineChars="100"/>
              <w:jc w:val="left"/>
              <w:rPr>
                <w:rFonts w:hint="default" w:ascii="ＭＳ 明朝" w:hAnsi="ＭＳ 明朝"/>
                <w:sz w:val="16"/>
                <w:szCs w:val="16"/>
              </w:rPr>
            </w:pPr>
            <w:r>
              <w:rPr>
                <w:rFonts w:hint="default" w:ascii="ＭＳ 明朝" w:hAnsi="ＭＳ 明朝"/>
                <w:sz w:val="16"/>
                <w:szCs w:val="16"/>
              </w:rPr>
              <w:t>今般、</w:t>
            </w:r>
            <w:r>
              <w:rPr>
                <w:rFonts w:hint="default" w:ascii="ＭＳ 明朝" w:hAnsi="ＭＳ 明朝"/>
                <w:sz w:val="16"/>
                <w:szCs w:val="16"/>
                <w:u w:val="single" w:color="auto"/>
              </w:rPr>
              <w:t>令和7年8月28日</w:t>
            </w:r>
            <w:r>
              <w:rPr>
                <w:rFonts w:hint="default" w:ascii="ＭＳ 明朝" w:hAnsi="ＭＳ 明朝"/>
                <w:sz w:val="16"/>
                <w:szCs w:val="16"/>
              </w:rPr>
              <w:t>に、</w:t>
            </w:r>
            <w:r>
              <w:rPr>
                <w:rFonts w:hint="default" w:ascii="ＭＳ 明朝" w:hAnsi="ＭＳ 明朝"/>
                <w:sz w:val="16"/>
                <w:szCs w:val="16"/>
                <w:u w:val="single" w:color="auto"/>
              </w:rPr>
              <w:t>イランによるＪＣＰＯＡの「重大な不履行」を国連安保理に通知がなされ、同9月19日（ニューヨーク現地時間）、</w:t>
            </w:r>
            <w:r>
              <w:rPr>
                <w:rFonts w:hint="default" w:ascii="ＭＳ 明朝" w:hAnsi="ＭＳ 明朝"/>
                <w:sz w:val="16"/>
                <w:szCs w:val="16"/>
              </w:rPr>
              <w:t>国連安保理決議第2231号に基づき、</w:t>
            </w:r>
            <w:r>
              <w:rPr>
                <w:rFonts w:hint="default" w:ascii="ＭＳ 明朝" w:hAnsi="ＭＳ 明朝"/>
                <w:sz w:val="16"/>
                <w:szCs w:val="16"/>
                <w:u w:val="single" w:color="auto"/>
              </w:rPr>
              <w:t>過去に解除されていた対イラン制裁に関する安保理決議（第1696号、第1737号、第１７４７号、第1803号、第1835号及び第1929号）の再適用等がなされることとなりました。これにより、</w:t>
            </w:r>
            <w:r>
              <w:rPr>
                <w:rFonts w:hint="default" w:ascii="ＭＳ 明朝" w:hAnsi="ＭＳ 明朝"/>
                <w:sz w:val="16"/>
                <w:szCs w:val="16"/>
              </w:rPr>
              <w:t>イラン向け大量破壊兵器等関連貨物の輸出等については、下記のとおり取り扱うこととします。</w:t>
            </w:r>
          </w:p>
          <w:p>
            <w:pPr>
              <w:widowControl/>
              <w:ind w:firstLine="240" w:firstLineChars="100"/>
              <w:jc w:val="center"/>
              <w:rPr>
                <w:rFonts w:hint="default" w:ascii="ＭＳ 明朝" w:hAnsi="ＭＳ 明朝"/>
                <w:sz w:val="16"/>
                <w:szCs w:val="16"/>
              </w:rPr>
            </w:pPr>
            <w:r>
              <w:rPr>
                <w:rFonts w:hint="default" w:ascii="ＭＳ 明朝" w:hAnsi="ＭＳ 明朝"/>
                <w:sz w:val="16"/>
                <w:szCs w:val="16"/>
              </w:rPr>
              <w:t>記</w:t>
            </w:r>
          </w:p>
          <w:p>
            <w:pPr>
              <w:widowControl/>
              <w:ind w:firstLine="240" w:firstLineChars="100"/>
              <w:jc w:val="left"/>
              <w:rPr>
                <w:rFonts w:hint="default" w:ascii="ＭＳ 明朝" w:hAnsi="ＭＳ 明朝"/>
                <w:sz w:val="16"/>
                <w:szCs w:val="16"/>
              </w:rPr>
            </w:pPr>
            <w:r>
              <w:rPr>
                <w:rFonts w:hint="default" w:ascii="ＭＳ 明朝" w:hAnsi="ＭＳ 明朝"/>
                <w:sz w:val="16"/>
                <w:szCs w:val="16"/>
              </w:rPr>
              <w:t>イラン向けの輸出貿易管理令別表第１の２の項</w:t>
            </w:r>
            <w:r>
              <w:rPr>
                <w:rFonts w:hint="default" w:ascii="ＭＳ 明朝" w:hAnsi="ＭＳ 明朝"/>
                <w:sz w:val="16"/>
                <w:szCs w:val="16"/>
                <w:u w:val="single" w:color="auto"/>
              </w:rPr>
              <w:t>及び４の項</w:t>
            </w:r>
            <w:r>
              <w:rPr>
                <w:rFonts w:hint="default" w:ascii="ＭＳ 明朝" w:hAnsi="ＭＳ 明朝"/>
                <w:sz w:val="16"/>
                <w:szCs w:val="16"/>
              </w:rPr>
              <w:t>に掲げる貨物の輸出又は外国為替令別表の２の項</w:t>
            </w:r>
            <w:r>
              <w:rPr>
                <w:rFonts w:hint="default" w:ascii="ＭＳ 明朝" w:hAnsi="ＭＳ 明朝"/>
                <w:sz w:val="16"/>
                <w:szCs w:val="16"/>
                <w:u w:val="single" w:color="auto"/>
              </w:rPr>
              <w:t>及び４の項</w:t>
            </w:r>
            <w:r>
              <w:rPr>
                <w:rFonts w:hint="default" w:ascii="ＭＳ 明朝" w:hAnsi="ＭＳ 明朝"/>
                <w:sz w:val="16"/>
                <w:szCs w:val="16"/>
              </w:rPr>
              <w:t>に掲げる技術の提供については、</w:t>
            </w:r>
            <w:r>
              <w:rPr>
                <w:rFonts w:hint="default" w:ascii="ＭＳ 明朝" w:hAnsi="ＭＳ 明朝"/>
                <w:sz w:val="16"/>
                <w:szCs w:val="16"/>
                <w:u w:val="single" w:color="auto"/>
              </w:rPr>
              <w:t>従前の通り輸出許可等を受ける義務を課すことにより、これらの輸出及び技術の提供を禁止することとします。</w:t>
            </w:r>
          </w:p>
        </w:tc>
        <w:tc>
          <w:tcPr>
            <w:tcW w:w="4308" w:type="dxa"/>
            <w:vAlign w:val="top"/>
          </w:tcPr>
          <w:p>
            <w:pPr>
              <w:widowControl/>
              <w:ind w:firstLine="240" w:firstLineChars="100"/>
              <w:jc w:val="left"/>
              <w:rPr>
                <w:rFonts w:hint="default" w:ascii="ＭＳ 明朝" w:hAnsi="ＭＳ 明朝"/>
                <w:sz w:val="16"/>
                <w:szCs w:val="16"/>
              </w:rPr>
            </w:pPr>
            <w:r>
              <w:rPr>
                <w:rFonts w:hint="default" w:ascii="ＭＳ 明朝" w:hAnsi="ＭＳ 明朝"/>
                <w:sz w:val="16"/>
                <w:szCs w:val="16"/>
              </w:rPr>
              <w:t>平成２７年７月２０日（ニューヨーク現地時間）、国際連合安全保障理事会（以下「国連安保理」という。）において、イランの核問題に関する国連安保理決議第２２３１号が採択されました。同決議においては、イランとＥＵ３＋３が発表した「包括的共同作業計画」の定める「履行の日」に効力を生ずる事項等が規定されております。</w:t>
            </w:r>
          </w:p>
          <w:p>
            <w:pPr>
              <w:widowControl/>
              <w:ind w:firstLine="240" w:firstLineChars="100"/>
              <w:jc w:val="left"/>
              <w:rPr>
                <w:rFonts w:hint="default" w:ascii="ＭＳ 明朝" w:hAnsi="ＭＳ 明朝"/>
                <w:sz w:val="16"/>
                <w:szCs w:val="16"/>
              </w:rPr>
            </w:pPr>
          </w:p>
          <w:p>
            <w:pPr>
              <w:widowControl/>
              <w:ind w:firstLine="240" w:firstLineChars="100"/>
              <w:jc w:val="left"/>
              <w:rPr>
                <w:rFonts w:hint="default" w:ascii="ＭＳ 明朝" w:hAnsi="ＭＳ 明朝"/>
                <w:sz w:val="16"/>
                <w:szCs w:val="16"/>
              </w:rPr>
            </w:pPr>
            <w:r>
              <w:rPr>
                <w:rFonts w:hint="default" w:ascii="ＭＳ 明朝" w:hAnsi="ＭＳ 明朝"/>
                <w:sz w:val="16"/>
                <w:szCs w:val="16"/>
              </w:rPr>
              <w:t>今般、</w:t>
            </w:r>
            <w:r>
              <w:rPr>
                <w:rFonts w:hint="default" w:ascii="ＭＳ 明朝" w:hAnsi="ＭＳ 明朝"/>
                <w:sz w:val="16"/>
                <w:szCs w:val="16"/>
                <w:u w:val="single" w:color="auto"/>
              </w:rPr>
              <w:t>平成28年1月16日（ウィーン現地時間）</w:t>
            </w:r>
            <w:r>
              <w:rPr>
                <w:rFonts w:hint="default" w:ascii="ＭＳ 明朝" w:hAnsi="ＭＳ 明朝"/>
                <w:sz w:val="16"/>
                <w:szCs w:val="16"/>
              </w:rPr>
              <w:t>に、</w:t>
            </w:r>
            <w:r>
              <w:rPr>
                <w:rFonts w:hint="default" w:ascii="ＭＳ 明朝" w:hAnsi="ＭＳ 明朝"/>
                <w:sz w:val="16"/>
                <w:szCs w:val="16"/>
                <w:u w:val="single" w:color="auto"/>
              </w:rPr>
              <w:t>この「履行の日」が到来したことを受け、</w:t>
            </w:r>
            <w:r>
              <w:rPr>
                <w:rFonts w:hint="default" w:ascii="ＭＳ 明朝" w:hAnsi="ＭＳ 明朝"/>
                <w:sz w:val="16"/>
                <w:szCs w:val="16"/>
              </w:rPr>
              <w:t>国連安保理決議第2231号に基づき、イラン向け大量破壊兵器等関連貨物の輸出等については、下記のとおり取り扱うことといたします。</w:t>
            </w:r>
          </w:p>
          <w:p>
            <w:pPr>
              <w:widowControl/>
              <w:ind w:firstLine="240" w:firstLineChars="100"/>
              <w:jc w:val="left"/>
              <w:rPr>
                <w:rFonts w:hint="default" w:ascii="ＭＳ 明朝" w:hAnsi="ＭＳ 明朝"/>
                <w:sz w:val="16"/>
                <w:szCs w:val="16"/>
                <w:u w:val="single" w:color="auto"/>
              </w:rPr>
            </w:pPr>
            <w:r>
              <w:rPr>
                <w:rFonts w:hint="default" w:ascii="ＭＳ 明朝" w:hAnsi="ＭＳ 明朝"/>
                <w:sz w:val="16"/>
                <w:szCs w:val="16"/>
                <w:u w:val="single" w:color="auto"/>
              </w:rPr>
              <w:t>なお、「国際連合安全保障理事会決議第１９２９号等に基づくイラン向け大量破壊兵器等関連貨物等の輸出禁止措置について」（平成22･07･22貿局第５号）は、廃止いたします。</w:t>
            </w:r>
          </w:p>
          <w:p>
            <w:pPr>
              <w:widowControl/>
              <w:ind w:firstLine="240" w:firstLineChars="100"/>
              <w:jc w:val="left"/>
              <w:rPr>
                <w:rFonts w:hint="default" w:ascii="ＭＳ 明朝" w:hAnsi="ＭＳ 明朝"/>
                <w:sz w:val="16"/>
                <w:szCs w:val="16"/>
              </w:rPr>
            </w:pPr>
          </w:p>
          <w:p>
            <w:pPr>
              <w:widowControl/>
              <w:ind w:firstLine="240" w:firstLineChars="100"/>
              <w:jc w:val="center"/>
              <w:rPr>
                <w:rFonts w:hint="default" w:ascii="ＭＳ 明朝" w:hAnsi="ＭＳ 明朝"/>
                <w:sz w:val="16"/>
                <w:szCs w:val="16"/>
              </w:rPr>
            </w:pPr>
            <w:r>
              <w:rPr>
                <w:rFonts w:hint="default" w:ascii="ＭＳ 明朝" w:hAnsi="ＭＳ 明朝"/>
                <w:sz w:val="16"/>
                <w:szCs w:val="16"/>
              </w:rPr>
              <w:t>記</w:t>
            </w:r>
          </w:p>
          <w:p>
            <w:pPr>
              <w:widowControl/>
              <w:ind w:firstLine="240" w:firstLineChars="100"/>
              <w:jc w:val="left"/>
              <w:rPr>
                <w:rFonts w:hint="default" w:ascii="ＭＳ 明朝" w:hAnsi="ＭＳ 明朝"/>
                <w:sz w:val="16"/>
                <w:szCs w:val="16"/>
                <w:u w:val="single" w:color="auto"/>
              </w:rPr>
            </w:pPr>
            <w:r>
              <w:rPr>
                <w:rFonts w:hint="default" w:ascii="ＭＳ 明朝" w:hAnsi="ＭＳ 明朝"/>
                <w:sz w:val="16"/>
                <w:szCs w:val="16"/>
              </w:rPr>
              <w:t>イラン向けの輸出貿易管理令別表第１の２の項に掲げる貨物の輸出又は外国為替令別表の２の項に掲げる技術の提供については、</w:t>
            </w:r>
            <w:r>
              <w:rPr>
                <w:rFonts w:hint="default" w:ascii="ＭＳ 明朝" w:hAnsi="ＭＳ 明朝"/>
                <w:sz w:val="16"/>
                <w:szCs w:val="16"/>
                <w:u w:val="single" w:color="auto"/>
              </w:rPr>
              <w:t>国連安保理等の事前の承認手続き等が必要となる場合がありますので、申請に先立って、経済産業省貿易経済協力局貿易管理部安全保障貿易審査課へ問い合わせてください。</w:t>
            </w:r>
          </w:p>
          <w:p>
            <w:pPr>
              <w:widowControl/>
              <w:ind w:firstLine="240" w:firstLineChars="100"/>
              <w:jc w:val="left"/>
              <w:rPr>
                <w:rFonts w:hint="default" w:ascii="ＭＳ 明朝" w:hAnsi="ＭＳ 明朝"/>
                <w:sz w:val="16"/>
                <w:szCs w:val="16"/>
              </w:rPr>
            </w:pPr>
            <w:r>
              <w:rPr>
                <w:rFonts w:hint="default" w:ascii="ＭＳ 明朝" w:hAnsi="ＭＳ 明朝"/>
                <w:sz w:val="16"/>
                <w:szCs w:val="16"/>
                <w:u w:val="single" w:color="auto"/>
              </w:rPr>
              <w:t>なお、国連安保理等の事前の承認手続き等が必要となる場合には、平成11年6月18日付け「輸出許可・役務取引許可・特定記録媒体等輸出等許可に係る審査期間等について（お知らせ）」中の審査期間が9０日を超える場合がありますのでご注意ください。</w:t>
            </w:r>
          </w:p>
        </w:tc>
      </w:tr>
    </w:tbl>
    <w:p>
      <w:pPr>
        <w:widowControl/>
        <w:ind w:firstLine="240" w:firstLineChars="100"/>
        <w:jc w:val="left"/>
        <w:rPr>
          <w:rFonts w:hint="default" w:ascii="ＭＳ 明朝" w:hAnsi="ＭＳ 明朝"/>
          <w:sz w:val="24"/>
          <w:szCs w:val="24"/>
        </w:rPr>
      </w:pPr>
    </w:p>
    <w:sectPr>
      <w:pgSz w:w="11906" w:h="16838"/>
      <w:pgMar w:top="1985" w:right="1753" w:bottom="1701" w:left="1753" w:header="851" w:footer="992" w:gutter="0"/>
      <w:pgBorders>
        <w:top w:val="none" w:color="auto" w:sz="0" w:space="0"/>
        <w:left w:val="none" w:color="auto" w:sz="0" w:space="0"/>
        <w:bottom w:val="none" w:color="auto" w:sz="0" w:space="0"/>
        <w:right w:val="none" w:color="auto" w:sz="0" w:space="0"/>
      </w:pgBorders>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019DD"/>
    <w:rsid w:val="0018519F"/>
    <w:rsid w:val="0025742B"/>
    <w:rsid w:val="003F55C4"/>
    <w:rsid w:val="004019DD"/>
    <w:rsid w:val="004A6AC7"/>
    <w:rsid w:val="004B356C"/>
    <w:rsid w:val="004B676C"/>
    <w:rsid w:val="004F19C0"/>
    <w:rsid w:val="005079B4"/>
    <w:rsid w:val="00522C4D"/>
    <w:rsid w:val="0056023D"/>
    <w:rsid w:val="00595BC8"/>
    <w:rsid w:val="005B0142"/>
    <w:rsid w:val="005E3308"/>
    <w:rsid w:val="00660F89"/>
    <w:rsid w:val="00670D05"/>
    <w:rsid w:val="006720FF"/>
    <w:rsid w:val="007937A6"/>
    <w:rsid w:val="0079427B"/>
    <w:rsid w:val="007D0AC3"/>
    <w:rsid w:val="007E68A7"/>
    <w:rsid w:val="00852934"/>
    <w:rsid w:val="009560E9"/>
    <w:rsid w:val="00A04F1E"/>
    <w:rsid w:val="00A1506E"/>
    <w:rsid w:val="00A9390A"/>
    <w:rsid w:val="00AC44A3"/>
    <w:rsid w:val="00B51D25"/>
    <w:rsid w:val="00B632C8"/>
    <w:rsid w:val="00B96A2B"/>
    <w:rsid w:val="00BB6FDB"/>
    <w:rsid w:val="00C255A6"/>
    <w:rsid w:val="00C737BB"/>
    <w:rsid w:val="00D1601D"/>
    <w:rsid w:val="00D654ED"/>
    <w:rsid w:val="00DA0E8E"/>
    <w:rsid w:val="00E50700"/>
    <w:rsid w:val="00ED2F18"/>
    <w:rsid w:val="00F06710"/>
    <w:rsid w:val="00F17EE5"/>
    <w:rsid w:val="00FC4585"/>
    <w:rsid w:val="00FD33ED"/>
    <w:rsid w:val="00FD690A"/>
    <w:rsid w:val="14425133"/>
    <w:rsid w:val="19494F6D"/>
    <w:rsid w:val="39C47FAF"/>
    <w:rsid w:val="59B731B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99" w:semiHidden="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99"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2"/>
      <w:lang w:val="en-US" w:eastAsia="ja-JP" w:bidi="ar-SA"/>
    </w:rPr>
  </w:style>
  <w:style w:type="character" w:default="1" w:styleId="8">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Note Heading"/>
    <w:basedOn w:val="1"/>
    <w:next w:val="1"/>
    <w:link w:val="15"/>
    <w:unhideWhenUsed/>
    <w:uiPriority w:val="99"/>
    <w:pPr>
      <w:jc w:val="center"/>
    </w:pPr>
    <w:rPr>
      <w:rFonts w:ascii="ＭＳ ゴシック" w:hAnsi="ＭＳ ゴシック" w:eastAsia="ＭＳ ゴシック" w:cs="ＭＳ ゴシック"/>
      <w:szCs w:val="21"/>
    </w:rPr>
  </w:style>
  <w:style w:type="paragraph" w:styleId="3">
    <w:name w:val="Closing"/>
    <w:basedOn w:val="1"/>
    <w:link w:val="16"/>
    <w:unhideWhenUsed/>
    <w:uiPriority w:val="99"/>
    <w:pPr>
      <w:jc w:val="right"/>
    </w:pPr>
    <w:rPr>
      <w:rFonts w:ascii="ＭＳ ゴシック" w:hAnsi="ＭＳ ゴシック" w:eastAsia="ＭＳ ゴシック" w:cs="ＭＳ ゴシック"/>
      <w:szCs w:val="21"/>
    </w:rPr>
  </w:style>
  <w:style w:type="paragraph" w:styleId="4">
    <w:name w:val="Date"/>
    <w:basedOn w:val="1"/>
    <w:next w:val="1"/>
    <w:link w:val="13"/>
    <w:unhideWhenUsed/>
    <w:uiPriority w:val="99"/>
  </w:style>
  <w:style w:type="paragraph" w:styleId="5">
    <w:name w:val="footer"/>
    <w:basedOn w:val="1"/>
    <w:link w:val="12"/>
    <w:unhideWhenUsed/>
    <w:uiPriority w:val="99"/>
    <w:pPr>
      <w:tabs>
        <w:tab w:val="center" w:pos="4252"/>
        <w:tab w:val="right" w:pos="8504"/>
      </w:tabs>
      <w:snapToGrid w:val="0"/>
    </w:pPr>
  </w:style>
  <w:style w:type="paragraph" w:styleId="6">
    <w:name w:val="Plain Text"/>
    <w:basedOn w:val="1"/>
    <w:link w:val="14"/>
    <w:unhideWhenUsed/>
    <w:uiPriority w:val="99"/>
    <w:rPr>
      <w:rFonts w:ascii="ＭＳ 明朝" w:hAnsi="Courier New" w:eastAsia="ＭＳ 明朝" w:cs="Courier New"/>
      <w:szCs w:val="21"/>
    </w:rPr>
  </w:style>
  <w:style w:type="paragraph" w:styleId="7">
    <w:name w:val="header"/>
    <w:basedOn w:val="1"/>
    <w:link w:val="11"/>
    <w:unhideWhenUsed/>
    <w:uiPriority w:val="99"/>
    <w:pPr>
      <w:tabs>
        <w:tab w:val="center" w:pos="4252"/>
        <w:tab w:val="right" w:pos="8504"/>
      </w:tabs>
      <w:snapToGrid w:val="0"/>
    </w:pPr>
  </w:style>
  <w:style w:type="table" w:styleId="10">
    <w:name w:val="Table Grid"/>
    <w:basedOn w:val="9"/>
    <w:uiPriority w:val="39"/>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11">
    <w:name w:val="ヘッダー (文字)"/>
    <w:basedOn w:val="8"/>
    <w:link w:val="7"/>
    <w:uiPriority w:val="99"/>
    <w:rPr/>
  </w:style>
  <w:style w:type="character" w:customStyle="1" w:styleId="12">
    <w:name w:val="フッター (文字)"/>
    <w:basedOn w:val="8"/>
    <w:link w:val="5"/>
    <w:uiPriority w:val="99"/>
    <w:rPr/>
  </w:style>
  <w:style w:type="character" w:customStyle="1" w:styleId="13">
    <w:name w:val="日付 (文字)"/>
    <w:basedOn w:val="8"/>
    <w:link w:val="4"/>
    <w:semiHidden/>
    <w:uiPriority w:val="99"/>
    <w:rPr/>
  </w:style>
  <w:style w:type="character" w:customStyle="1" w:styleId="14">
    <w:name w:val="書式なし (文字)"/>
    <w:basedOn w:val="8"/>
    <w:link w:val="6"/>
    <w:uiPriority w:val="99"/>
    <w:rPr>
      <w:rFonts w:ascii="ＭＳ 明朝" w:hAnsi="Courier New" w:eastAsia="ＭＳ 明朝" w:cs="Courier New"/>
      <w:szCs w:val="21"/>
    </w:rPr>
  </w:style>
  <w:style w:type="character" w:customStyle="1" w:styleId="15">
    <w:name w:val="記 (文字)"/>
    <w:basedOn w:val="8"/>
    <w:link w:val="2"/>
    <w:uiPriority w:val="99"/>
    <w:rPr>
      <w:rFonts w:ascii="ＭＳ ゴシック" w:hAnsi="ＭＳ ゴシック" w:eastAsia="ＭＳ ゴシック" w:cs="ＭＳ ゴシック"/>
      <w:szCs w:val="21"/>
    </w:rPr>
  </w:style>
  <w:style w:type="character" w:customStyle="1" w:styleId="16">
    <w:name w:val="結語 (文字)"/>
    <w:basedOn w:val="8"/>
    <w:link w:val="3"/>
    <w:uiPriority w:val="99"/>
    <w:rPr>
      <w:rFonts w:ascii="ＭＳ ゴシック" w:hAnsi="ＭＳ ゴシック" w:eastAsia="ＭＳ ゴシック" w:cs="ＭＳ ゴシック"/>
      <w:szCs w:val="21"/>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340</Words>
  <Characters>1939</Characters>
  <Lines>16</Lines>
  <Paragraphs>4</Paragraphs>
  <ScaleCrop>false</ScaleCrop>
  <LinksUpToDate>false</LinksUpToDate>
  <CharactersWithSpaces>0</CharactersWithSpaces>
  <Application>Kingsoft Office Professional_9.1.0.4922_{F1E327BC-269C-435d-A152-05C5408002CA}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2021-07-12T02:54:00Z</dcterms:created>
  <dc:creator>鈴木　恒久</dc:creator>
  <cp:lastModifiedBy>恒久</cp:lastModifiedBy>
  <dcterms:modified xsi:type="dcterms:W3CDTF">2025-09-29T12:59:59Z</dcterms:modified>
  <dc:title>イランに対する輸出入禁止措置等の再開に係る税関の対応について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