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ind w:left="0" w:firstLine="0" w:firstLineChars="0"/>
        <w:rPr>
          <w:rFonts w:ascii="ＭＳ 明朝" w:hAnsi="ＭＳ 明朝"/>
          <w:sz w:val="16"/>
          <w:szCs w:val="16"/>
          <w:lang w:eastAsia="zh-CN"/>
        </w:rPr>
      </w:pPr>
      <w:r>
        <w:rPr>
          <w:rFonts w:hint="default" w:ascii="ＭＳ 明朝" w:hAnsi="ＭＳ 明朝"/>
          <w:sz w:val="16"/>
          <w:szCs w:val="16"/>
          <w:lang w:eastAsia="zh-CN"/>
        </w:rPr>
        <w:t>関税暫定措置</w:t>
      </w:r>
      <w:bookmarkStart w:id="0" w:name="_GoBack"/>
      <w:bookmarkEnd w:id="0"/>
      <w:r>
        <w:rPr>
          <w:rFonts w:hint="default" w:ascii="ＭＳ 明朝" w:hAnsi="ＭＳ 明朝"/>
          <w:sz w:val="16"/>
          <w:szCs w:val="16"/>
          <w:lang w:eastAsia="zh-CN"/>
        </w:rPr>
        <w:t>法施行令第二十五条第一項第一号イ及びロに規定する財務大臣が定める所得水準並びに関税暫定措置法第八条の二第一項に規定する特恵受益国等及び同条第三項に規定する特別特恵受益国を告示する件</w:t>
      </w:r>
    </w:p>
    <w:p>
      <w:pPr>
        <w:spacing w:line="240" w:lineRule="auto"/>
        <w:ind w:left="160" w:hanging="160"/>
        <w:rPr>
          <w:rFonts w:ascii="ＭＳ 明朝" w:hAnsi="ＭＳ 明朝"/>
          <w:sz w:val="16"/>
          <w:szCs w:val="16"/>
          <w:lang w:eastAsia="zh-CN"/>
        </w:rPr>
      </w:pPr>
      <w:r>
        <w:rPr>
          <w:rFonts w:hint="eastAsia" w:ascii="ＭＳ 明朝" w:hAnsi="ＭＳ 明朝"/>
          <w:sz w:val="16"/>
          <w:szCs w:val="16"/>
        </w:rPr>
        <w:t>令和八年三月三十一日</w:t>
      </w:r>
      <w:r>
        <w:rPr>
          <w:rFonts w:hint="eastAsia" w:ascii="ＭＳ 明朝" w:hAnsi="ＭＳ 明朝"/>
          <w:sz w:val="16"/>
          <w:szCs w:val="16"/>
          <w:lang w:eastAsia="zh-CN"/>
        </w:rPr>
        <w:t>財務省告示第八十七号</w:t>
      </w:r>
    </w:p>
    <w:p>
      <w:pPr>
        <w:spacing w:line="240" w:lineRule="auto"/>
        <w:ind w:left="160" w:hanging="160"/>
        <w:rPr>
          <w:rFonts w:ascii="ＭＳ 明朝" w:hAnsi="ＭＳ 明朝"/>
          <w:sz w:val="16"/>
          <w:szCs w:val="16"/>
          <w:lang w:eastAsia="zh-CN"/>
        </w:rPr>
      </w:pPr>
    </w:p>
    <w:p>
      <w:pPr>
        <w:spacing w:line="240" w:lineRule="auto"/>
        <w:ind w:left="0" w:firstLine="160" w:firstLineChars="100"/>
        <w:rPr>
          <w:rFonts w:ascii="ＭＳ 明朝" w:hAnsi="ＭＳ 明朝"/>
          <w:sz w:val="16"/>
          <w:szCs w:val="16"/>
        </w:rPr>
      </w:pPr>
      <w:r>
        <w:rPr>
          <w:rFonts w:hint="eastAsia" w:ascii="ＭＳ 明朝" w:hAnsi="ＭＳ 明朝"/>
          <w:sz w:val="16"/>
          <w:szCs w:val="16"/>
        </w:rPr>
        <w:t>関税暫定措置法施行令（昭和三十五年政令第六十九号）第二十五条第一項第一号イ及びロに規定する財務大臣が定める所得水準を第一号のとおり告示するとともに、同令第二十五条第一項、第三項、第四項及び第六項の規定に基づき、関税暫定措置法（昭和三十五年法律第三十六号）第八条の二第一項に規定する特恵受益国等、同条第二項に規定する同条第一項の規定による関税についての便益を与えない物品及び同条第三項に規定する特別特恵受益国を定めることとしたので、同令第二十五条第九項の規定に基づき、第二号のとおり告示し、それぞれ令和八年四月一日から適用する。なお、関税暫定措置法施行令第二十五条第一項第一号イ及びロに規定する財務大臣が定める所得水準並びに関税暫定措置法第八条の二第一項に規定する特恵受益国等及び同条第三項に規定する特別特恵受益国を告示する件（令和七年財務省告示第九十四号）は、令和八年三月三十一日限り廃止する。</w:t>
      </w:r>
    </w:p>
    <w:p>
      <w:pPr>
        <w:spacing w:line="240" w:lineRule="auto"/>
        <w:ind w:left="160" w:hanging="160"/>
        <w:rPr>
          <w:rFonts w:ascii="ＭＳ 明朝" w:hAnsi="ＭＳ 明朝"/>
          <w:sz w:val="16"/>
          <w:szCs w:val="16"/>
        </w:rPr>
      </w:pPr>
    </w:p>
    <w:p>
      <w:pPr>
        <w:spacing w:line="240" w:lineRule="auto"/>
        <w:ind w:left="160" w:hanging="160"/>
        <w:rPr>
          <w:rFonts w:ascii="ＭＳ 明朝" w:hAnsi="ＭＳ 明朝" w:eastAsia="ＭＳ 明朝"/>
          <w:sz w:val="16"/>
          <w:szCs w:val="16"/>
          <w:lang w:eastAsia="zh-CN"/>
        </w:rPr>
      </w:pPr>
      <w:r>
        <w:rPr>
          <w:rFonts w:hint="eastAsia" w:ascii="ＭＳ 明朝" w:hAnsi="ＭＳ 明朝" w:eastAsia="ＭＳ 明朝"/>
          <w:sz w:val="16"/>
          <w:szCs w:val="16"/>
          <w:lang w:eastAsia="zh-CN"/>
        </w:rPr>
        <w:t>一　関税暫定措置法施行令（以下「令」という。）第二十五条第一項第一号イ及びロに規定する財務大臣が定める所得水準</w:t>
      </w:r>
    </w:p>
    <w:p>
      <w:pPr>
        <w:spacing w:line="240" w:lineRule="auto"/>
        <w:ind w:left="210" w:leftChars="100" w:firstLine="160" w:firstLineChars="100"/>
        <w:rPr>
          <w:rFonts w:ascii="ＭＳ 明朝" w:hAnsi="ＭＳ 明朝" w:eastAsia="ＭＳ 明朝"/>
          <w:sz w:val="16"/>
          <w:szCs w:val="16"/>
          <w:lang w:eastAsia="zh-CN"/>
        </w:rPr>
      </w:pPr>
      <w:r>
        <w:rPr>
          <w:rFonts w:hint="eastAsia" w:ascii="ＭＳ 明朝" w:hAnsi="ＭＳ 明朝" w:eastAsia="ＭＳ 明朝"/>
          <w:sz w:val="16"/>
          <w:szCs w:val="16"/>
          <w:lang w:eastAsia="zh-CN"/>
        </w:rPr>
        <w:t>令第二十五条第一項第一号イに規定する財務大臣が定める所得水準は、国際復興開発銀行が公表する統計（以下「世銀統計」という。）において「高所得国」に該当する所得水準とし、同号ロに規定する財務大臣が定める所得水準は、世銀統計において「高中所得国」に該当する所得水準とする。</w:t>
      </w:r>
    </w:p>
    <w:p>
      <w:pPr>
        <w:spacing w:line="240" w:lineRule="auto"/>
        <w:ind w:left="160" w:hanging="160"/>
        <w:rPr>
          <w:rFonts w:ascii="ＭＳ 明朝" w:hAnsi="ＭＳ 明朝"/>
          <w:sz w:val="16"/>
          <w:szCs w:val="16"/>
          <w:lang w:eastAsia="zh-CN"/>
        </w:rPr>
      </w:pPr>
      <w:r>
        <w:rPr>
          <w:rFonts w:hint="eastAsia" w:ascii="ＭＳ 明朝" w:hAnsi="ＭＳ 明朝"/>
          <w:sz w:val="16"/>
          <w:szCs w:val="16"/>
          <w:lang w:eastAsia="zh-CN"/>
        </w:rPr>
        <w:t>二</w:t>
      </w:r>
      <w:r>
        <w:rPr>
          <w:rFonts w:hint="eastAsia" w:ascii="ＭＳ 明朝" w:hAnsi="ＭＳ 明朝"/>
          <w:sz w:val="16"/>
          <w:szCs w:val="16"/>
        </w:rPr>
        <w:t>　</w:t>
      </w:r>
      <w:r>
        <w:rPr>
          <w:rFonts w:hint="eastAsia" w:ascii="ＭＳ 明朝" w:hAnsi="ＭＳ 明朝"/>
          <w:sz w:val="16"/>
          <w:szCs w:val="16"/>
          <w:lang w:eastAsia="zh-CN"/>
        </w:rPr>
        <w:t>関税暫定措置法（以下「法」という。）第八条の二第一項に規定する特恵受益国等、同条第二項に規定する同条第一項の規定による関税についての便益を与えない物品及び同条第三項に規定する特別特恵受益国の指定</w:t>
      </w:r>
    </w:p>
    <w:p>
      <w:pPr>
        <w:spacing w:line="240" w:lineRule="auto"/>
        <w:ind w:left="370" w:leftChars="100" w:hanging="160"/>
        <w:rPr>
          <w:rFonts w:ascii="ＭＳ 明朝" w:hAnsi="ＭＳ 明朝"/>
          <w:sz w:val="16"/>
          <w:szCs w:val="16"/>
          <w:lang w:eastAsia="zh-CN"/>
        </w:rPr>
      </w:pPr>
      <w:r>
        <w:rPr>
          <w:rFonts w:hint="eastAsia" w:ascii="ＭＳ 明朝" w:hAnsi="ＭＳ 明朝"/>
          <w:sz w:val="16"/>
          <w:szCs w:val="16"/>
          <w:lang w:eastAsia="zh-CN"/>
        </w:rPr>
        <w:t>㈠　令第二十五条第一項の規定に基づき、法第八条の二第一項に規定する特恵受益国等を、次のとおり指定する。</w:t>
      </w:r>
    </w:p>
    <w:p>
      <w:pPr>
        <w:widowControl/>
        <w:wordWrap/>
        <w:adjustRightInd/>
        <w:snapToGrid/>
        <w:spacing w:line="240" w:lineRule="auto"/>
        <w:ind w:left="370" w:leftChars="200" w:right="0" w:firstLine="160" w:firstLineChars="100"/>
        <w:jc w:val="both"/>
        <w:textAlignment w:val="auto"/>
        <w:outlineLvl w:val="9"/>
        <w:rPr>
          <w:rFonts w:hint="eastAsia" w:ascii="ＭＳ 明朝" w:hAnsi="ＭＳ 明朝" w:eastAsia="ＭＳ 明朝"/>
          <w:sz w:val="16"/>
          <w:szCs w:val="16"/>
          <w:lang w:eastAsia="zh-CN"/>
        </w:rPr>
      </w:pPr>
      <w:r>
        <w:rPr>
          <w:rFonts w:hint="eastAsia" w:ascii="ＭＳ 明朝" w:hAnsi="ＭＳ 明朝" w:eastAsia="ＭＳ 明朝"/>
          <w:sz w:val="16"/>
          <w:szCs w:val="16"/>
          <w:lang w:eastAsia="zh-CN"/>
        </w:rPr>
        <w:t>アゼルバイジャン、アフガニスタン、アルジェリア、アルゼンチン、アルバニア、アルメニア、アンゴラ、イエメン、イラク、イラン、インド、インドネシア、ウガンダ、ウクライナ、ウズベキスタン、エクアドル、エジプト、エスワティニ、エチオピア、エリトリア、エルサルバドル、ガーナ、カーボベルデ、ガイアナ、カザフスタン、ガボン、カメルーン、ガンビア、カンボジア、北マケドニア、ギニア、ギニアビサウ、キューバ、キリバス、キルギス、グアテマラ、グレナダ、ケニア、コートジボワール、コスタリカ、コソボ、コモロ、コロンビア、コンゴ共和国、コンゴ民主共和国、サモア、サントメ・プリンシペ、ザンビア、シエラレオネ、ジブチ、ジャマイカ、ジョージア、シリア、ジンバブエ、スーダン、スリナム、スリランカ、赤道ギニア、セネガル、セルビア、セントビンセント、セントヘレナ及びその附属諸島地域、セントルシア、ソマリア、ソロモン、タジキスタン、タンザニア、チャド、中央アフリカ、チュニジア、ツバル、トーゴ、トケラウ諸島地域、ドミニカ、ドミニカ共和国、トルクメニスタン、トンガ、ナイジェリア、ナミビア、ニウエ、ニカラグア、ニジェール、ネパール、ハイチ、パキスタン、バヌアツ、パプアニューギニア、パラグアイ、バングラデシュ、東ティモール、フィジー、フィリピン、ブータン、ブルキナファソ、ブルンジ、米領サモア地域、ベトナム、ベナン、ベネズエラ、ベラルーシ、ベリーズ、ペルー、ボスニア・ヘルツェゴビナ、ボツワナ、ボリビア、ホンジュラス、マーシャル、マダガスカル、マラウイ、マリ、ミクロネシア、南アフリカ共和国、ミャンマー、モーリシャス、モーリタニア、モザンビーク、モルディブ、モルドバ、モロッコ、モンゴル、モンテネグロ、ヨルダン、ヨルダン川西岸及びガザ地域、ラオス、リビア、リベリア、ルワンダ、レソト並びにレバノン</w:t>
      </w:r>
    </w:p>
    <w:p>
      <w:pPr>
        <w:spacing w:line="240" w:lineRule="auto"/>
        <w:ind w:left="370" w:leftChars="100" w:hanging="160"/>
        <w:rPr>
          <w:rFonts w:hint="eastAsia" w:ascii="ＭＳ 明朝" w:hAnsi="ＭＳ 明朝"/>
          <w:sz w:val="16"/>
          <w:szCs w:val="16"/>
          <w:lang w:eastAsia="zh-CN"/>
        </w:rPr>
      </w:pPr>
      <w:r>
        <w:rPr>
          <w:rFonts w:hint="eastAsia" w:ascii="ＭＳ 明朝" w:hAnsi="ＭＳ 明朝"/>
          <w:sz w:val="16"/>
          <w:szCs w:val="16"/>
          <w:lang w:eastAsia="zh-CN"/>
        </w:rPr>
        <w:t>㈡</w:t>
      </w:r>
      <w:r>
        <w:rPr>
          <w:rFonts w:hint="eastAsia" w:ascii="ＭＳ 明朝" w:hAnsi="ＭＳ 明朝"/>
          <w:sz w:val="16"/>
          <w:szCs w:val="16"/>
          <w:lang w:eastAsia="ja-JP"/>
        </w:rPr>
        <w:t>　令第二十五条第三項第一号の規定に基づき、特恵受益国等でなくなる国及び財務大臣が定める日は、次の表のとおりとする。</w:t>
      </w:r>
    </w:p>
    <w:tbl>
      <w:tblPr>
        <w:tblStyle w:val="11"/>
        <w:tblW w:w="6754" w:type="dxa"/>
        <w:tblInd w:w="5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3326"/>
        <w:gridCol w:w="34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240" w:hRule="atLeast"/>
        </w:trPr>
        <w:tc>
          <w:tcPr>
            <w:tcW w:w="3326" w:type="dxa"/>
            <w:tcBorders>
              <w:bottom w:val="single" w:color="000000" w:sz="4" w:space="0"/>
            </w:tcBorders>
            <w:tcMar>
              <w:left w:w="28" w:type="dxa"/>
              <w:bottom w:w="28" w:type="dxa"/>
              <w:right w:w="28" w:type="dxa"/>
            </w:tcMar>
            <w:textDirection w:val="lrTbV"/>
            <w:vAlign w:val="top"/>
          </w:tcPr>
          <w:p>
            <w:pPr>
              <w:ind w:left="0" w:firstLine="0" w:firstLineChars="0"/>
              <w:jc w:val="center"/>
              <w:rPr>
                <w:rFonts w:hint="eastAsia" w:ascii="ＭＳ 明朝" w:hAnsi="ＭＳ 明朝"/>
                <w:sz w:val="16"/>
                <w:szCs w:val="16"/>
              </w:rPr>
            </w:pPr>
            <w:r>
              <w:rPr>
                <w:rFonts w:hint="eastAsia" w:ascii="ＭＳ 明朝" w:hAnsi="ＭＳ 明朝"/>
                <w:sz w:val="16"/>
                <w:szCs w:val="16"/>
              </w:rPr>
              <w:t>特恵受益国等でなくなる国</w:t>
            </w:r>
          </w:p>
        </w:tc>
        <w:tc>
          <w:tcPr>
            <w:tcW w:w="3428" w:type="dxa"/>
            <w:tcBorders>
              <w:bottom w:val="single" w:color="000000" w:sz="4" w:space="0"/>
            </w:tcBorders>
            <w:tcMar>
              <w:left w:w="28" w:type="dxa"/>
              <w:bottom w:w="28" w:type="dxa"/>
              <w:right w:w="28" w:type="dxa"/>
            </w:tcMar>
            <w:textDirection w:val="lrTbV"/>
            <w:vAlign w:val="top"/>
          </w:tcPr>
          <w:p>
            <w:pPr>
              <w:ind w:left="0" w:firstLine="0" w:firstLineChars="0"/>
              <w:jc w:val="center"/>
              <w:rPr>
                <w:rFonts w:hint="eastAsia" w:ascii="ＭＳ 明朝" w:hAnsi="ＭＳ 明朝"/>
                <w:sz w:val="16"/>
                <w:szCs w:val="16"/>
              </w:rPr>
            </w:pPr>
            <w:r>
              <w:rPr>
                <w:rFonts w:hint="eastAsia" w:ascii="ＭＳ 明朝" w:hAnsi="ＭＳ 明朝"/>
                <w:sz w:val="16"/>
                <w:szCs w:val="16"/>
              </w:rPr>
              <w:t>財務大臣が定める日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240" w:hRule="atLeast"/>
        </w:trPr>
        <w:tc>
          <w:tcPr>
            <w:tcW w:w="332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textDirection w:val="lrTbV"/>
            <w:vAlign w:val="center"/>
          </w:tcPr>
          <w:p>
            <w:pPr>
              <w:spacing w:line="240" w:lineRule="auto"/>
              <w:ind w:left="0" w:firstLine="0" w:firstLineChars="0"/>
              <w:jc w:val="both"/>
              <w:rPr>
                <w:rFonts w:hint="eastAsia" w:ascii="ＭＳ 明朝" w:hAnsi="ＭＳ 明朝"/>
                <w:sz w:val="16"/>
                <w:szCs w:val="16"/>
              </w:rPr>
            </w:pPr>
            <w:r>
              <w:rPr>
                <w:rFonts w:hint="eastAsia" w:ascii="ＭＳ 明朝" w:hAnsi="ＭＳ 明朝"/>
                <w:sz w:val="16"/>
                <w:szCs w:val="16"/>
              </w:rPr>
              <w:t>トルコ</w:t>
            </w:r>
          </w:p>
        </w:tc>
        <w:tc>
          <w:tcPr>
            <w:tcW w:w="3428" w:type="dxa"/>
            <w:tcBorders>
              <w:top w:val="single" w:color="000000" w:sz="4" w:space="0"/>
              <w:left w:val="single" w:color="000000" w:sz="4" w:space="0"/>
              <w:bottom w:val="single" w:color="000000" w:sz="4" w:space="0"/>
            </w:tcBorders>
            <w:tcMar>
              <w:top w:w="28" w:type="dxa"/>
              <w:left w:w="28" w:type="dxa"/>
              <w:bottom w:w="28" w:type="dxa"/>
              <w:right w:w="28" w:type="dxa"/>
            </w:tcMar>
            <w:textDirection w:val="lrTbV"/>
            <w:vAlign w:val="center"/>
          </w:tcPr>
          <w:p>
            <w:pPr>
              <w:spacing w:line="240" w:lineRule="auto"/>
              <w:ind w:left="0" w:firstLine="0" w:firstLineChars="0"/>
              <w:jc w:val="both"/>
              <w:rPr>
                <w:rFonts w:hint="eastAsia" w:ascii="ＭＳ 明朝" w:hAnsi="ＭＳ 明朝"/>
                <w:sz w:val="16"/>
                <w:szCs w:val="16"/>
              </w:rPr>
            </w:pPr>
            <w:r>
              <w:rPr>
                <w:rFonts w:hint="eastAsia" w:ascii="ＭＳ 明朝" w:hAnsi="ＭＳ 明朝"/>
                <w:sz w:val="16"/>
                <w:szCs w:val="16"/>
              </w:rPr>
              <w:t>令和八年四月一日</w:t>
            </w:r>
          </w:p>
        </w:tc>
      </w:tr>
    </w:tbl>
    <w:p>
      <w:pPr>
        <w:spacing w:line="240" w:lineRule="auto"/>
        <w:ind w:left="370" w:leftChars="100" w:hanging="160"/>
        <w:rPr>
          <w:rFonts w:ascii="ＭＳ 明朝" w:hAnsi="ＭＳ 明朝"/>
          <w:sz w:val="16"/>
          <w:szCs w:val="16"/>
          <w:lang w:eastAsia="zh-CN"/>
        </w:rPr>
      </w:pPr>
      <w:r>
        <w:rPr>
          <w:rFonts w:hint="eastAsia" w:ascii="ＭＳ 明朝" w:hAnsi="ＭＳ 明朝"/>
          <w:sz w:val="16"/>
          <w:szCs w:val="16"/>
          <w:lang w:eastAsia="zh-CN"/>
        </w:rPr>
        <w:t>㈢　令第二十五条第四項の表の第二項の規定に基づき、法第八条の二第二項に規定する同条第一項の規定による関税についての便益を与えない物品は、次の表のとおりとする。</w:t>
      </w:r>
    </w:p>
    <w:tbl>
      <w:tblPr>
        <w:tblStyle w:val="11"/>
        <w:tblW w:w="6707" w:type="dxa"/>
        <w:tblInd w:w="5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78"/>
        <w:gridCol w:w="2182"/>
        <w:gridCol w:w="1844"/>
        <w:gridCol w:w="2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240" w:hRule="atLeast"/>
        </w:trPr>
        <w:tc>
          <w:tcPr>
            <w:tcW w:w="578" w:type="dxa"/>
            <w:tcBorders>
              <w:bottom w:val="single" w:color="000000" w:sz="4" w:space="0"/>
            </w:tcBorders>
            <w:tcMar>
              <w:left w:w="28" w:type="dxa"/>
              <w:bottom w:w="28" w:type="dxa"/>
              <w:right w:w="28" w:type="dxa"/>
            </w:tcMar>
            <w:textDirection w:val="lrTbV"/>
            <w:vAlign w:val="top"/>
          </w:tcPr>
          <w:p>
            <w:pPr>
              <w:ind w:left="0" w:firstLine="0" w:firstLineChars="0"/>
              <w:jc w:val="center"/>
              <w:rPr>
                <w:rFonts w:ascii="ＭＳ 明朝" w:hAnsi="ＭＳ 明朝"/>
                <w:sz w:val="16"/>
                <w:szCs w:val="16"/>
              </w:rPr>
            </w:pPr>
            <w:r>
              <w:rPr>
                <w:rFonts w:hint="eastAsia" w:ascii="ＭＳ 明朝" w:hAnsi="ＭＳ 明朝"/>
                <w:sz w:val="16"/>
                <w:szCs w:val="16"/>
              </w:rPr>
              <w:t>項名</w:t>
            </w:r>
          </w:p>
        </w:tc>
        <w:tc>
          <w:tcPr>
            <w:tcW w:w="2182" w:type="dxa"/>
            <w:tcBorders>
              <w:bottom w:val="single" w:color="000000" w:sz="4" w:space="0"/>
            </w:tcBorders>
            <w:tcMar>
              <w:left w:w="28" w:type="dxa"/>
              <w:bottom w:w="28" w:type="dxa"/>
              <w:right w:w="28" w:type="dxa"/>
            </w:tcMar>
            <w:textDirection w:val="lrTbV"/>
            <w:vAlign w:val="top"/>
          </w:tcPr>
          <w:p>
            <w:pPr>
              <w:ind w:left="0" w:firstLine="0" w:firstLineChars="0"/>
              <w:jc w:val="center"/>
              <w:rPr>
                <w:rFonts w:hint="eastAsia" w:ascii="ＭＳ 明朝" w:hAnsi="ＭＳ 明朝"/>
                <w:sz w:val="16"/>
                <w:szCs w:val="16"/>
              </w:rPr>
            </w:pPr>
            <w:r>
              <w:rPr>
                <w:rFonts w:hint="eastAsia" w:ascii="ＭＳ 明朝" w:hAnsi="ＭＳ 明朝"/>
                <w:sz w:val="16"/>
                <w:szCs w:val="16"/>
              </w:rPr>
              <w:t>特恵受益国等</w:t>
            </w:r>
          </w:p>
        </w:tc>
        <w:tc>
          <w:tcPr>
            <w:tcW w:w="1844" w:type="dxa"/>
            <w:tcBorders>
              <w:bottom w:val="single" w:color="000000" w:sz="4" w:space="0"/>
            </w:tcBorders>
            <w:textDirection w:val="lrTbV"/>
            <w:vAlign w:val="top"/>
          </w:tcPr>
          <w:p>
            <w:pPr>
              <w:ind w:left="0" w:firstLine="0" w:firstLineChars="0"/>
              <w:jc w:val="center"/>
              <w:rPr>
                <w:rFonts w:ascii="ＭＳ 明朝" w:hAnsi="ＭＳ 明朝"/>
                <w:sz w:val="16"/>
                <w:szCs w:val="16"/>
              </w:rPr>
            </w:pPr>
            <w:r>
              <w:rPr>
                <w:rFonts w:hint="eastAsia" w:ascii="ＭＳ 明朝" w:hAnsi="ＭＳ 明朝"/>
                <w:sz w:val="16"/>
                <w:szCs w:val="16"/>
              </w:rPr>
              <w:t>物品</w:t>
            </w:r>
          </w:p>
        </w:tc>
        <w:tc>
          <w:tcPr>
            <w:tcW w:w="2103" w:type="dxa"/>
            <w:tcBorders>
              <w:bottom w:val="single" w:color="000000" w:sz="4" w:space="0"/>
            </w:tcBorders>
            <w:tcMar>
              <w:left w:w="28" w:type="dxa"/>
              <w:bottom w:w="28" w:type="dxa"/>
              <w:right w:w="28" w:type="dxa"/>
            </w:tcMar>
            <w:textDirection w:val="lrTbV"/>
            <w:vAlign w:val="top"/>
          </w:tcPr>
          <w:p>
            <w:pPr>
              <w:ind w:left="0" w:firstLine="0" w:firstLineChars="0"/>
              <w:jc w:val="center"/>
              <w:rPr>
                <w:rFonts w:hint="eastAsia" w:ascii="ＭＳ 明朝" w:hAnsi="ＭＳ 明朝"/>
                <w:sz w:val="16"/>
                <w:szCs w:val="16"/>
              </w:rPr>
            </w:pPr>
            <w:r>
              <w:rPr>
                <w:rFonts w:hint="eastAsia" w:ascii="ＭＳ 明朝" w:hAnsi="ＭＳ 明朝"/>
                <w:sz w:val="16"/>
                <w:szCs w:val="16"/>
              </w:rPr>
              <w:t>期間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240" w:hRule="atLeast"/>
        </w:trPr>
        <w:tc>
          <w:tcPr>
            <w:tcW w:w="578" w:type="dxa"/>
            <w:tcBorders>
              <w:bottom w:val="nil"/>
            </w:tcBorders>
            <w:tcMar>
              <w:left w:w="28" w:type="dxa"/>
              <w:bottom w:w="28" w:type="dxa"/>
              <w:right w:w="28" w:type="dxa"/>
            </w:tcMar>
            <w:textDirection w:val="lrTbV"/>
            <w:vAlign w:val="top"/>
          </w:tcPr>
          <w:p>
            <w:pPr>
              <w:ind w:left="0" w:firstLine="0" w:firstLineChars="0"/>
              <w:jc w:val="right"/>
              <w:rPr>
                <w:rFonts w:hint="eastAsia" w:ascii="ＭＳ 明朝" w:hAnsi="ＭＳ 明朝" w:eastAsia="ＭＳ 明朝"/>
                <w:sz w:val="16"/>
                <w:szCs w:val="16"/>
                <w:lang w:eastAsia="ja-JP"/>
              </w:rPr>
            </w:pPr>
            <w:r>
              <w:rPr>
                <w:rFonts w:hint="eastAsia" w:ascii="ＭＳ 明朝" w:hAnsi="ＭＳ 明朝"/>
                <w:sz w:val="16"/>
                <w:szCs w:val="16"/>
                <w:lang w:eastAsia="ja-JP"/>
              </w:rPr>
              <w:t>一</w:t>
            </w:r>
          </w:p>
        </w:tc>
        <w:tc>
          <w:tcPr>
            <w:tcW w:w="2182" w:type="dxa"/>
            <w:tcBorders>
              <w:bottom w:val="single" w:color="000000" w:sz="4" w:space="0"/>
            </w:tcBorders>
            <w:tcMar>
              <w:left w:w="28" w:type="dxa"/>
              <w:bottom w:w="28" w:type="dxa"/>
              <w:right w:w="28" w:type="dxa"/>
            </w:tcMar>
            <w:textDirection w:val="lrTbV"/>
            <w:vAlign w:val="center"/>
          </w:tcPr>
          <w:p>
            <w:pPr>
              <w:ind w:left="0" w:firstLine="0" w:firstLineChars="0"/>
              <w:jc w:val="both"/>
              <w:rPr>
                <w:rFonts w:hint="eastAsia" w:ascii="ＭＳ 明朝" w:hAnsi="ＭＳ 明朝"/>
                <w:sz w:val="16"/>
                <w:szCs w:val="16"/>
              </w:rPr>
            </w:pPr>
            <w:r>
              <w:rPr>
                <w:rFonts w:hint="eastAsia" w:ascii="ＭＳ 明朝" w:hAnsi="ＭＳ 明朝"/>
                <w:sz w:val="16"/>
                <w:szCs w:val="16"/>
              </w:rPr>
              <w:t>㈠</w:t>
            </w:r>
            <w:r>
              <w:rPr>
                <w:rFonts w:hint="eastAsia" w:ascii="ＭＳ 明朝" w:hAnsi="ＭＳ 明朝"/>
                <w:sz w:val="16"/>
                <w:szCs w:val="16"/>
                <w:lang w:eastAsia="ja-JP"/>
              </w:rPr>
              <w:t>　</w:t>
            </w:r>
            <w:r>
              <w:rPr>
                <w:rFonts w:hint="eastAsia" w:ascii="ＭＳ 明朝" w:hAnsi="ＭＳ 明朝"/>
                <w:sz w:val="16"/>
                <w:szCs w:val="16"/>
              </w:rPr>
              <w:t>フィリピン</w:t>
            </w:r>
          </w:p>
        </w:tc>
        <w:tc>
          <w:tcPr>
            <w:tcW w:w="1844" w:type="dxa"/>
            <w:tcBorders>
              <w:bottom w:val="single" w:color="000000" w:sz="4" w:space="0"/>
            </w:tcBorders>
            <w:textDirection w:val="lrTbV"/>
            <w:vAlign w:val="center"/>
          </w:tcPr>
          <w:p>
            <w:pPr>
              <w:ind w:left="0" w:firstLine="0" w:firstLineChars="0"/>
              <w:jc w:val="both"/>
              <w:rPr>
                <w:rFonts w:hint="eastAsia" w:ascii="ＭＳ 明朝" w:hAnsi="ＭＳ 明朝"/>
                <w:sz w:val="16"/>
                <w:szCs w:val="16"/>
              </w:rPr>
            </w:pPr>
            <w:r>
              <w:rPr>
                <w:rFonts w:hint="eastAsia" w:ascii="ＭＳ 明朝" w:hAnsi="ＭＳ 明朝"/>
                <w:sz w:val="16"/>
                <w:szCs w:val="16"/>
              </w:rPr>
              <w:t>四四・一八</w:t>
            </w:r>
          </w:p>
        </w:tc>
        <w:tc>
          <w:tcPr>
            <w:tcW w:w="2103" w:type="dxa"/>
            <w:tcBorders>
              <w:bottom w:val="nil"/>
            </w:tcBorders>
            <w:tcMar>
              <w:left w:w="28" w:type="dxa"/>
              <w:bottom w:w="28" w:type="dxa"/>
              <w:right w:w="28" w:type="dxa"/>
            </w:tcMar>
            <w:textDirection w:val="lrTbV"/>
            <w:vAlign w:val="center"/>
          </w:tcPr>
          <w:p>
            <w:pPr>
              <w:ind w:left="0" w:firstLine="0" w:firstLineChars="0"/>
              <w:jc w:val="both"/>
              <w:rPr>
                <w:rFonts w:hint="eastAsia" w:ascii="ＭＳ 明朝" w:hAnsi="ＭＳ 明朝"/>
                <w:sz w:val="16"/>
                <w:szCs w:val="16"/>
              </w:rPr>
            </w:pPr>
            <w:r>
              <w:rPr>
                <w:rFonts w:hint="eastAsia" w:ascii="ＭＳ 明朝" w:hAnsi="ＭＳ 明朝"/>
                <w:sz w:val="16"/>
                <w:szCs w:val="16"/>
              </w:rPr>
              <w:t>令和六年四月一日から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240" w:hRule="atLeast"/>
        </w:trPr>
        <w:tc>
          <w:tcPr>
            <w:tcW w:w="578" w:type="dxa"/>
            <w:tcBorders>
              <w:top w:val="nil"/>
              <w:bottom w:val="nil"/>
            </w:tcBorders>
            <w:tcMar>
              <w:left w:w="28" w:type="dxa"/>
              <w:bottom w:w="28" w:type="dxa"/>
              <w:right w:w="28" w:type="dxa"/>
            </w:tcMar>
            <w:textDirection w:val="lrTbV"/>
            <w:vAlign w:val="top"/>
          </w:tcPr>
          <w:p>
            <w:pPr>
              <w:ind w:left="0" w:firstLine="0" w:firstLineChars="0"/>
              <w:jc w:val="center"/>
              <w:rPr>
                <w:rFonts w:hint="eastAsia" w:ascii="ＭＳ 明朝" w:hAnsi="ＭＳ 明朝"/>
                <w:sz w:val="16"/>
                <w:szCs w:val="16"/>
              </w:rPr>
            </w:pPr>
          </w:p>
        </w:tc>
        <w:tc>
          <w:tcPr>
            <w:tcW w:w="2182" w:type="dxa"/>
            <w:tcBorders>
              <w:top w:val="single" w:color="000000" w:sz="4" w:space="0"/>
              <w:bottom w:val="nil"/>
            </w:tcBorders>
            <w:tcMar>
              <w:left w:w="28" w:type="dxa"/>
              <w:bottom w:w="28" w:type="dxa"/>
              <w:right w:w="28" w:type="dxa"/>
            </w:tcMar>
            <w:textDirection w:val="lrTbV"/>
            <w:vAlign w:val="center"/>
          </w:tcPr>
          <w:p>
            <w:pPr>
              <w:ind w:left="0" w:firstLine="0" w:firstLineChars="0"/>
              <w:jc w:val="both"/>
              <w:rPr>
                <w:rFonts w:hint="eastAsia" w:ascii="ＭＳ 明朝" w:hAnsi="ＭＳ 明朝"/>
                <w:sz w:val="16"/>
                <w:szCs w:val="16"/>
              </w:rPr>
            </w:pPr>
            <w:r>
              <w:rPr>
                <w:rFonts w:hint="eastAsia" w:ascii="ＭＳ 明朝" w:hAnsi="ＭＳ 明朝"/>
                <w:sz w:val="16"/>
                <w:szCs w:val="16"/>
              </w:rPr>
              <w:t>㈡</w:t>
            </w:r>
            <w:r>
              <w:rPr>
                <w:rFonts w:hint="eastAsia" w:ascii="ＭＳ 明朝" w:hAnsi="ＭＳ 明朝"/>
                <w:sz w:val="16"/>
                <w:szCs w:val="16"/>
                <w:lang w:eastAsia="ja-JP"/>
              </w:rPr>
              <w:t>　</w:t>
            </w:r>
            <w:r>
              <w:rPr>
                <w:rFonts w:hint="eastAsia" w:ascii="ＭＳ 明朝" w:hAnsi="ＭＳ 明朝"/>
                <w:sz w:val="16"/>
                <w:szCs w:val="16"/>
              </w:rPr>
              <w:t>南アフリカ共和国</w:t>
            </w:r>
          </w:p>
        </w:tc>
        <w:tc>
          <w:tcPr>
            <w:tcW w:w="1844" w:type="dxa"/>
            <w:tcBorders>
              <w:top w:val="single" w:color="000000" w:sz="4" w:space="0"/>
              <w:bottom w:val="nil"/>
            </w:tcBorders>
            <w:textDirection w:val="lrTbV"/>
            <w:vAlign w:val="center"/>
          </w:tcPr>
          <w:p>
            <w:pPr>
              <w:ind w:left="0" w:firstLine="0" w:firstLineChars="0"/>
              <w:jc w:val="both"/>
              <w:rPr>
                <w:rFonts w:hint="eastAsia" w:ascii="ＭＳ 明朝" w:hAnsi="ＭＳ 明朝"/>
                <w:sz w:val="16"/>
                <w:szCs w:val="16"/>
              </w:rPr>
            </w:pPr>
            <w:r>
              <w:rPr>
                <w:rFonts w:hint="eastAsia" w:ascii="ＭＳ 明朝" w:hAnsi="ＭＳ 明朝"/>
                <w:sz w:val="16"/>
                <w:szCs w:val="16"/>
              </w:rPr>
              <w:t>一二一一・九○五○○</w:t>
            </w:r>
          </w:p>
        </w:tc>
        <w:tc>
          <w:tcPr>
            <w:tcW w:w="2103" w:type="dxa"/>
            <w:tcBorders>
              <w:top w:val="nil"/>
              <w:bottom w:val="nil"/>
            </w:tcBorders>
            <w:tcMar>
              <w:left w:w="28" w:type="dxa"/>
              <w:bottom w:w="28" w:type="dxa"/>
              <w:right w:w="28" w:type="dxa"/>
            </w:tcMar>
            <w:textDirection w:val="lrTbV"/>
            <w:vAlign w:val="center"/>
          </w:tcPr>
          <w:p>
            <w:pPr>
              <w:ind w:left="0" w:firstLine="0" w:firstLineChars="0"/>
              <w:jc w:val="both"/>
              <w:rPr>
                <w:rFonts w:hint="eastAsia" w:ascii="ＭＳ 明朝" w:hAnsi="ＭＳ 明朝"/>
                <w:sz w:val="16"/>
                <w:szCs w:val="16"/>
              </w:rPr>
            </w:pPr>
            <w:r>
              <w:rPr>
                <w:rFonts w:hint="eastAsia" w:ascii="ＭＳ 明朝" w:hAnsi="ＭＳ 明朝"/>
                <w:sz w:val="16"/>
                <w:szCs w:val="16"/>
              </w:rPr>
              <w:t>令和九年三月三十一日まで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Ex>
        <w:trPr>
          <w:trHeight w:val="240" w:hRule="atLeast"/>
        </w:trPr>
        <w:tc>
          <w:tcPr>
            <w:tcW w:w="578" w:type="dxa"/>
            <w:tcBorders>
              <w:top w:val="nil"/>
              <w:bottom w:val="single" w:color="000000" w:sz="4" w:space="0"/>
            </w:tcBorders>
            <w:tcMar>
              <w:top w:w="28" w:type="dxa"/>
              <w:left w:w="28" w:type="dxa"/>
              <w:bottom w:w="28" w:type="dxa"/>
              <w:right w:w="28" w:type="dxa"/>
            </w:tcMar>
            <w:textDirection w:val="lrTbV"/>
            <w:vAlign w:val="center"/>
          </w:tcPr>
          <w:p>
            <w:pPr>
              <w:spacing w:line="240" w:lineRule="auto"/>
              <w:ind w:left="0" w:firstLine="0" w:firstLineChars="0"/>
              <w:rPr>
                <w:rFonts w:ascii="ＭＳ 明朝" w:hAnsi="ＭＳ 明朝"/>
                <w:sz w:val="16"/>
                <w:szCs w:val="16"/>
              </w:rPr>
            </w:pPr>
          </w:p>
        </w:tc>
        <w:tc>
          <w:tcPr>
            <w:tcW w:w="2182" w:type="dxa"/>
            <w:tcBorders>
              <w:top w:val="nil"/>
              <w:bottom w:val="single" w:color="000000" w:sz="4" w:space="0"/>
            </w:tcBorders>
            <w:tcMar>
              <w:top w:w="28" w:type="dxa"/>
              <w:left w:w="28" w:type="dxa"/>
              <w:bottom w:w="28" w:type="dxa"/>
              <w:right w:w="28" w:type="dxa"/>
            </w:tcMar>
            <w:textDirection w:val="lrTbV"/>
            <w:vAlign w:val="center"/>
          </w:tcPr>
          <w:p>
            <w:pPr>
              <w:spacing w:line="240" w:lineRule="auto"/>
              <w:ind w:left="0" w:firstLine="0" w:firstLineChars="0"/>
              <w:jc w:val="both"/>
              <w:rPr>
                <w:rFonts w:hint="eastAsia" w:ascii="ＭＳ 明朝" w:hAnsi="ＭＳ 明朝"/>
                <w:sz w:val="16"/>
                <w:szCs w:val="16"/>
              </w:rPr>
            </w:pPr>
          </w:p>
        </w:tc>
        <w:tc>
          <w:tcPr>
            <w:tcW w:w="1844" w:type="dxa"/>
            <w:tcBorders>
              <w:top w:val="nil"/>
              <w:bottom w:val="single" w:color="000000" w:sz="4" w:space="0"/>
            </w:tcBorders>
            <w:tcMar>
              <w:top w:w="0" w:type="dxa"/>
            </w:tcMar>
            <w:textDirection w:val="lrTbV"/>
            <w:vAlign w:val="center"/>
          </w:tcPr>
          <w:p>
            <w:pPr>
              <w:spacing w:line="240" w:lineRule="auto"/>
              <w:ind w:left="0" w:firstLine="0" w:firstLineChars="0"/>
              <w:jc w:val="both"/>
              <w:rPr>
                <w:rFonts w:ascii="ＭＳ 明朝" w:hAnsi="ＭＳ 明朝"/>
                <w:sz w:val="16"/>
                <w:szCs w:val="16"/>
              </w:rPr>
            </w:pPr>
            <w:r>
              <w:rPr>
                <w:rFonts w:hint="default" w:ascii="ＭＳ 明朝" w:hAnsi="ＭＳ 明朝"/>
                <w:sz w:val="16"/>
                <w:szCs w:val="16"/>
              </w:rPr>
              <w:t>一二一二・九九九九○</w:t>
            </w:r>
          </w:p>
        </w:tc>
        <w:tc>
          <w:tcPr>
            <w:tcW w:w="2103" w:type="dxa"/>
            <w:tcBorders>
              <w:top w:val="nil"/>
              <w:bottom w:val="single" w:color="000000" w:sz="4" w:space="0"/>
            </w:tcBorders>
            <w:tcMar>
              <w:top w:w="28" w:type="dxa"/>
              <w:left w:w="28" w:type="dxa"/>
              <w:bottom w:w="28" w:type="dxa"/>
              <w:right w:w="28" w:type="dxa"/>
            </w:tcMar>
            <w:textDirection w:val="lrTbV"/>
            <w:vAlign w:val="center"/>
          </w:tcPr>
          <w:p>
            <w:pPr>
              <w:spacing w:line="240" w:lineRule="auto"/>
              <w:ind w:left="0" w:firstLine="0" w:firstLineChars="0"/>
              <w:jc w:val="both"/>
              <w:rPr>
                <w:rFonts w:hint="eastAsia" w:ascii="ＭＳ 明朝" w:hAnsi="ＭＳ 明朝"/>
                <w:sz w:val="16"/>
                <w:szCs w:val="16"/>
              </w:rPr>
            </w:pPr>
          </w:p>
        </w:tc>
      </w:tr>
    </w:tbl>
    <w:p>
      <w:pPr>
        <w:spacing w:line="240" w:lineRule="auto"/>
        <w:ind w:left="370" w:leftChars="100" w:hanging="160"/>
        <w:rPr>
          <w:rFonts w:ascii="ＭＳ 明朝" w:hAnsi="ＭＳ 明朝"/>
          <w:sz w:val="16"/>
          <w:szCs w:val="16"/>
          <w:lang w:eastAsia="zh-CN"/>
        </w:rPr>
      </w:pPr>
      <w:r>
        <w:rPr>
          <w:rFonts w:hint="eastAsia" w:ascii="ＭＳ 明朝" w:hAnsi="ＭＳ 明朝"/>
          <w:sz w:val="16"/>
          <w:szCs w:val="16"/>
          <w:lang w:eastAsia="zh-CN"/>
        </w:rPr>
        <w:t>㈣</w:t>
      </w:r>
      <w:r>
        <w:rPr>
          <w:rFonts w:hint="eastAsia" w:ascii="ＭＳ 明朝" w:hAnsi="ＭＳ 明朝"/>
          <w:sz w:val="16"/>
          <w:szCs w:val="16"/>
          <w:lang w:eastAsia="ja-JP"/>
        </w:rPr>
        <w:t>　</w:t>
      </w:r>
      <w:r>
        <w:rPr>
          <w:rFonts w:hint="eastAsia" w:ascii="ＭＳ 明朝" w:hAnsi="ＭＳ 明朝"/>
          <w:sz w:val="16"/>
          <w:szCs w:val="16"/>
          <w:lang w:eastAsia="zh-CN"/>
        </w:rPr>
        <w:t>令第二十五条第六項の規定に基づき、法第八条の二第三項に規定する特別特恵受益国を、次のとおり指定する。</w:t>
      </w:r>
    </w:p>
    <w:p>
      <w:pPr>
        <w:spacing w:line="240" w:lineRule="auto"/>
        <w:ind w:left="420" w:leftChars="200" w:firstLine="160" w:firstLineChars="100"/>
        <w:rPr>
          <w:rFonts w:hint="eastAsia" w:ascii="ＭＳ 明朝" w:hAnsi="ＭＳ 明朝"/>
          <w:sz w:val="16"/>
          <w:szCs w:val="16"/>
          <w:lang w:eastAsia="zh-CN"/>
        </w:rPr>
      </w:pPr>
      <w:r>
        <w:rPr>
          <w:rFonts w:hint="eastAsia" w:ascii="ＭＳ 明朝" w:hAnsi="ＭＳ 明朝"/>
          <w:sz w:val="16"/>
          <w:szCs w:val="16"/>
          <w:lang w:eastAsia="zh-CN"/>
        </w:rPr>
        <w:t>アフガニスタン、アンゴラ、イエメン、ウガンダ、エチオピア、エリトリア、ガンビア、カンボジア、ギニア、ギニアビサウ、キリバス、コモロ、コンゴ民主共和国、サントメ・プリンシペ、ザンビア、シエラレオネ、ジブチ、スーダン、セネガル、ソマリア、ソロモン、タンザニア、チャド、中央アフリカ、ツバル、トーゴ、ニジェール、ネパール、ハイチ、バングラデシュ、東ティモール、ブルキナファソ、ブルンジ、ベナン、マダガスカル、マラウイ、マリ、ミャンマー、モーリタニア、モザンビーク、ラオス、リベリア、ルワンダ及びレソト</w:t>
      </w:r>
    </w:p>
    <w:sectPr>
      <w:headerReference r:id="rId6" w:type="first"/>
      <w:footerReference r:id="rId9" w:type="first"/>
      <w:headerReference r:id="rId4" w:type="default"/>
      <w:footerReference r:id="rId7" w:type="default"/>
      <w:headerReference r:id="rId5" w:type="even"/>
      <w:footerReference r:id="rId8" w:type="even"/>
      <w:pgSz w:w="16838" w:h="11906" w:orient="landscape"/>
      <w:pgMar w:top="1021" w:right="851" w:bottom="1021" w:left="851" w:header="851" w:footer="992" w:gutter="0"/>
      <w:pgBorders>
        <w:top w:val="none" w:color="auto" w:sz="0" w:space="0"/>
        <w:left w:val="none" w:color="auto" w:sz="0" w:space="0"/>
        <w:bottom w:val="none" w:color="auto" w:sz="0" w:space="0"/>
        <w:right w:val="none" w:color="auto" w:sz="0" w:space="0"/>
      </w:pgBorders>
      <w:cols w:space="425" w:num="2"/>
      <w:textDirection w:val="lrTbV"/>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left="210" w:hanging="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left="210"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left="210" w:hanging="2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ind w:left="210" w:hanging="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ind w:left="210" w:hanging="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ind w:left="210" w:hanging="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val="0"/>
  <w:bordersDoNotSurroundFooter w:val="0"/>
  <w:documentProtection w:enforcement="0"/>
  <w:defaultTabStop w:val="210"/>
  <w:drawingGridHorizontalSpacing w:val="181"/>
  <w:drawingGridVerticalSpacing w:val="36"/>
  <w:displayHorizontalDrawingGridEvery w:val="1"/>
  <w:displayVerticalDrawingGridEvery w:val="1"/>
  <w:noPunctuationKerning w:val="1"/>
  <w:characterSpacingControl w:val="compressPunctuation"/>
  <w:compat>
    <w:spaceForUL/>
    <w:balanceSingleByteDoubleByteWidth/>
    <w:doNotLeaveBackslashAlone/>
    <w:ulTrailSpac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91B70"/>
    <w:rsid w:val="0000343A"/>
    <w:rsid w:val="0000475D"/>
    <w:rsid w:val="00007773"/>
    <w:rsid w:val="000246D7"/>
    <w:rsid w:val="00024967"/>
    <w:rsid w:val="00030339"/>
    <w:rsid w:val="00031EE5"/>
    <w:rsid w:val="000375C8"/>
    <w:rsid w:val="000467AA"/>
    <w:rsid w:val="000470A2"/>
    <w:rsid w:val="00047E9F"/>
    <w:rsid w:val="0005276D"/>
    <w:rsid w:val="0005595F"/>
    <w:rsid w:val="000609E6"/>
    <w:rsid w:val="00065FD0"/>
    <w:rsid w:val="00074CEA"/>
    <w:rsid w:val="00077259"/>
    <w:rsid w:val="00077D1E"/>
    <w:rsid w:val="00080E41"/>
    <w:rsid w:val="000839B0"/>
    <w:rsid w:val="000A12F2"/>
    <w:rsid w:val="000B6594"/>
    <w:rsid w:val="000C22C9"/>
    <w:rsid w:val="000C299D"/>
    <w:rsid w:val="000E0145"/>
    <w:rsid w:val="000E08E8"/>
    <w:rsid w:val="000F10EF"/>
    <w:rsid w:val="000F1195"/>
    <w:rsid w:val="000F5970"/>
    <w:rsid w:val="000F5C50"/>
    <w:rsid w:val="000F74B0"/>
    <w:rsid w:val="000F7E03"/>
    <w:rsid w:val="00104645"/>
    <w:rsid w:val="00107CF7"/>
    <w:rsid w:val="00122C5E"/>
    <w:rsid w:val="00124304"/>
    <w:rsid w:val="00125200"/>
    <w:rsid w:val="00132C61"/>
    <w:rsid w:val="001424EE"/>
    <w:rsid w:val="001461C4"/>
    <w:rsid w:val="00167D65"/>
    <w:rsid w:val="00182AFF"/>
    <w:rsid w:val="001870E6"/>
    <w:rsid w:val="00191B70"/>
    <w:rsid w:val="001933FD"/>
    <w:rsid w:val="00195445"/>
    <w:rsid w:val="001A02E9"/>
    <w:rsid w:val="001C21B9"/>
    <w:rsid w:val="001C407E"/>
    <w:rsid w:val="001D6839"/>
    <w:rsid w:val="00215B73"/>
    <w:rsid w:val="00216DD8"/>
    <w:rsid w:val="00216E78"/>
    <w:rsid w:val="00224697"/>
    <w:rsid w:val="00225421"/>
    <w:rsid w:val="00226591"/>
    <w:rsid w:val="00226EF4"/>
    <w:rsid w:val="002270B6"/>
    <w:rsid w:val="00230997"/>
    <w:rsid w:val="0024166D"/>
    <w:rsid w:val="0024448F"/>
    <w:rsid w:val="002444B0"/>
    <w:rsid w:val="002473BF"/>
    <w:rsid w:val="00253143"/>
    <w:rsid w:val="0025369C"/>
    <w:rsid w:val="0025697F"/>
    <w:rsid w:val="002609B9"/>
    <w:rsid w:val="0028725E"/>
    <w:rsid w:val="00290BCD"/>
    <w:rsid w:val="00291F02"/>
    <w:rsid w:val="002B2BBA"/>
    <w:rsid w:val="002C490A"/>
    <w:rsid w:val="002C5823"/>
    <w:rsid w:val="002C755F"/>
    <w:rsid w:val="002E18C8"/>
    <w:rsid w:val="002E2F86"/>
    <w:rsid w:val="002F0BE3"/>
    <w:rsid w:val="002F2009"/>
    <w:rsid w:val="002F6008"/>
    <w:rsid w:val="003104CB"/>
    <w:rsid w:val="00313244"/>
    <w:rsid w:val="00320618"/>
    <w:rsid w:val="00321277"/>
    <w:rsid w:val="00327B1E"/>
    <w:rsid w:val="003462D4"/>
    <w:rsid w:val="00357AF1"/>
    <w:rsid w:val="00371699"/>
    <w:rsid w:val="00372BDF"/>
    <w:rsid w:val="0037418F"/>
    <w:rsid w:val="003771BE"/>
    <w:rsid w:val="003816BD"/>
    <w:rsid w:val="003826D4"/>
    <w:rsid w:val="003834B7"/>
    <w:rsid w:val="003845CE"/>
    <w:rsid w:val="003864F3"/>
    <w:rsid w:val="003963F8"/>
    <w:rsid w:val="003A7506"/>
    <w:rsid w:val="003B5FCB"/>
    <w:rsid w:val="003D24D6"/>
    <w:rsid w:val="003D32EF"/>
    <w:rsid w:val="003E38D1"/>
    <w:rsid w:val="003E3D55"/>
    <w:rsid w:val="004157C4"/>
    <w:rsid w:val="004246CF"/>
    <w:rsid w:val="004305EF"/>
    <w:rsid w:val="0043379E"/>
    <w:rsid w:val="0043625B"/>
    <w:rsid w:val="00436D41"/>
    <w:rsid w:val="004377DA"/>
    <w:rsid w:val="0044048A"/>
    <w:rsid w:val="00441239"/>
    <w:rsid w:val="00457C4B"/>
    <w:rsid w:val="00461D36"/>
    <w:rsid w:val="00464752"/>
    <w:rsid w:val="0046655B"/>
    <w:rsid w:val="00476587"/>
    <w:rsid w:val="00480A48"/>
    <w:rsid w:val="00481EBF"/>
    <w:rsid w:val="0048465F"/>
    <w:rsid w:val="00487E5E"/>
    <w:rsid w:val="0049222C"/>
    <w:rsid w:val="00497A60"/>
    <w:rsid w:val="004A0907"/>
    <w:rsid w:val="004A14DA"/>
    <w:rsid w:val="004A74F8"/>
    <w:rsid w:val="004B440F"/>
    <w:rsid w:val="004B4CDE"/>
    <w:rsid w:val="004B5459"/>
    <w:rsid w:val="004C4BDD"/>
    <w:rsid w:val="004C7231"/>
    <w:rsid w:val="004D1C01"/>
    <w:rsid w:val="004D48C9"/>
    <w:rsid w:val="004F58E0"/>
    <w:rsid w:val="005019DB"/>
    <w:rsid w:val="00504038"/>
    <w:rsid w:val="005144FE"/>
    <w:rsid w:val="00523250"/>
    <w:rsid w:val="00525E78"/>
    <w:rsid w:val="00530DD9"/>
    <w:rsid w:val="00556989"/>
    <w:rsid w:val="00557EBE"/>
    <w:rsid w:val="00564AAE"/>
    <w:rsid w:val="005731CF"/>
    <w:rsid w:val="00580070"/>
    <w:rsid w:val="00587224"/>
    <w:rsid w:val="005B1FDB"/>
    <w:rsid w:val="005B2DA6"/>
    <w:rsid w:val="005D103B"/>
    <w:rsid w:val="005D4AF3"/>
    <w:rsid w:val="005D74DC"/>
    <w:rsid w:val="005E20EC"/>
    <w:rsid w:val="005E323A"/>
    <w:rsid w:val="005F0DB9"/>
    <w:rsid w:val="005F3104"/>
    <w:rsid w:val="006000A7"/>
    <w:rsid w:val="00602330"/>
    <w:rsid w:val="00605D76"/>
    <w:rsid w:val="0061618F"/>
    <w:rsid w:val="00617BDF"/>
    <w:rsid w:val="006238EC"/>
    <w:rsid w:val="0062467D"/>
    <w:rsid w:val="00627DB9"/>
    <w:rsid w:val="0063125A"/>
    <w:rsid w:val="00633A9A"/>
    <w:rsid w:val="00635DCF"/>
    <w:rsid w:val="00641F47"/>
    <w:rsid w:val="006536C9"/>
    <w:rsid w:val="006551C5"/>
    <w:rsid w:val="006631B3"/>
    <w:rsid w:val="006751B0"/>
    <w:rsid w:val="00684DD9"/>
    <w:rsid w:val="0068619A"/>
    <w:rsid w:val="0068721E"/>
    <w:rsid w:val="00687D88"/>
    <w:rsid w:val="00692281"/>
    <w:rsid w:val="00695ADA"/>
    <w:rsid w:val="00696D0B"/>
    <w:rsid w:val="006A53C1"/>
    <w:rsid w:val="006C16BC"/>
    <w:rsid w:val="006C36D3"/>
    <w:rsid w:val="006E6387"/>
    <w:rsid w:val="006E6EF1"/>
    <w:rsid w:val="006F08BC"/>
    <w:rsid w:val="00702C92"/>
    <w:rsid w:val="0071259D"/>
    <w:rsid w:val="007201FA"/>
    <w:rsid w:val="00721BF2"/>
    <w:rsid w:val="00725FEC"/>
    <w:rsid w:val="0072782B"/>
    <w:rsid w:val="00727A6D"/>
    <w:rsid w:val="007300E3"/>
    <w:rsid w:val="007305C2"/>
    <w:rsid w:val="00732A57"/>
    <w:rsid w:val="00753C88"/>
    <w:rsid w:val="00757FCB"/>
    <w:rsid w:val="007618F3"/>
    <w:rsid w:val="007749FA"/>
    <w:rsid w:val="00776AC2"/>
    <w:rsid w:val="00777DF9"/>
    <w:rsid w:val="007816F8"/>
    <w:rsid w:val="00791E7C"/>
    <w:rsid w:val="007932E9"/>
    <w:rsid w:val="00793C4F"/>
    <w:rsid w:val="007950D6"/>
    <w:rsid w:val="00795146"/>
    <w:rsid w:val="007A47B6"/>
    <w:rsid w:val="007B16DE"/>
    <w:rsid w:val="007B174C"/>
    <w:rsid w:val="007B554D"/>
    <w:rsid w:val="007B5E63"/>
    <w:rsid w:val="007D192F"/>
    <w:rsid w:val="007E02C6"/>
    <w:rsid w:val="007E15AD"/>
    <w:rsid w:val="007E2739"/>
    <w:rsid w:val="007E3142"/>
    <w:rsid w:val="007E7A01"/>
    <w:rsid w:val="007F23C5"/>
    <w:rsid w:val="007F23DB"/>
    <w:rsid w:val="007F373B"/>
    <w:rsid w:val="00821842"/>
    <w:rsid w:val="0082757A"/>
    <w:rsid w:val="008376AF"/>
    <w:rsid w:val="00846611"/>
    <w:rsid w:val="00852693"/>
    <w:rsid w:val="00865201"/>
    <w:rsid w:val="00866132"/>
    <w:rsid w:val="00867DDB"/>
    <w:rsid w:val="00867E93"/>
    <w:rsid w:val="00871172"/>
    <w:rsid w:val="00880B70"/>
    <w:rsid w:val="00881924"/>
    <w:rsid w:val="0088466A"/>
    <w:rsid w:val="008847DA"/>
    <w:rsid w:val="008855F4"/>
    <w:rsid w:val="00886FA5"/>
    <w:rsid w:val="00887409"/>
    <w:rsid w:val="00890669"/>
    <w:rsid w:val="00891525"/>
    <w:rsid w:val="00894DE7"/>
    <w:rsid w:val="008B2B97"/>
    <w:rsid w:val="008B37F7"/>
    <w:rsid w:val="008B5B47"/>
    <w:rsid w:val="008D3DC6"/>
    <w:rsid w:val="008D5B13"/>
    <w:rsid w:val="008D6638"/>
    <w:rsid w:val="008E2F87"/>
    <w:rsid w:val="008E4616"/>
    <w:rsid w:val="008E49F4"/>
    <w:rsid w:val="008F310F"/>
    <w:rsid w:val="008F6F91"/>
    <w:rsid w:val="00902DD8"/>
    <w:rsid w:val="00904340"/>
    <w:rsid w:val="0090556C"/>
    <w:rsid w:val="00905A6F"/>
    <w:rsid w:val="009106FF"/>
    <w:rsid w:val="00912280"/>
    <w:rsid w:val="00927FE5"/>
    <w:rsid w:val="00931403"/>
    <w:rsid w:val="00945C93"/>
    <w:rsid w:val="00951F3C"/>
    <w:rsid w:val="009545CF"/>
    <w:rsid w:val="00974A1E"/>
    <w:rsid w:val="0098455F"/>
    <w:rsid w:val="00985331"/>
    <w:rsid w:val="00985CCB"/>
    <w:rsid w:val="009862B8"/>
    <w:rsid w:val="00987838"/>
    <w:rsid w:val="0099091C"/>
    <w:rsid w:val="0099139F"/>
    <w:rsid w:val="00992A73"/>
    <w:rsid w:val="009A27FC"/>
    <w:rsid w:val="009C44B8"/>
    <w:rsid w:val="009D362E"/>
    <w:rsid w:val="009D5A88"/>
    <w:rsid w:val="009D60BC"/>
    <w:rsid w:val="009D6402"/>
    <w:rsid w:val="009E558F"/>
    <w:rsid w:val="009F11A3"/>
    <w:rsid w:val="009F1E9A"/>
    <w:rsid w:val="00A01A3F"/>
    <w:rsid w:val="00A04606"/>
    <w:rsid w:val="00A07E10"/>
    <w:rsid w:val="00A17355"/>
    <w:rsid w:val="00A2267E"/>
    <w:rsid w:val="00A25739"/>
    <w:rsid w:val="00A427ED"/>
    <w:rsid w:val="00A6071D"/>
    <w:rsid w:val="00A668F2"/>
    <w:rsid w:val="00A71D73"/>
    <w:rsid w:val="00A73555"/>
    <w:rsid w:val="00A7435D"/>
    <w:rsid w:val="00A81E88"/>
    <w:rsid w:val="00A83B5E"/>
    <w:rsid w:val="00A846D9"/>
    <w:rsid w:val="00A9258D"/>
    <w:rsid w:val="00AA25C9"/>
    <w:rsid w:val="00AB53AA"/>
    <w:rsid w:val="00AB78B4"/>
    <w:rsid w:val="00AC35BF"/>
    <w:rsid w:val="00AD04F7"/>
    <w:rsid w:val="00AF19C7"/>
    <w:rsid w:val="00B00591"/>
    <w:rsid w:val="00B03ADB"/>
    <w:rsid w:val="00B04D67"/>
    <w:rsid w:val="00B1501F"/>
    <w:rsid w:val="00B241EE"/>
    <w:rsid w:val="00B44760"/>
    <w:rsid w:val="00B512E3"/>
    <w:rsid w:val="00B64C4E"/>
    <w:rsid w:val="00B6723B"/>
    <w:rsid w:val="00B80966"/>
    <w:rsid w:val="00B870F9"/>
    <w:rsid w:val="00B90116"/>
    <w:rsid w:val="00BA60B6"/>
    <w:rsid w:val="00BA6B5F"/>
    <w:rsid w:val="00BA7BCB"/>
    <w:rsid w:val="00BB2135"/>
    <w:rsid w:val="00BB70F4"/>
    <w:rsid w:val="00BC3144"/>
    <w:rsid w:val="00BE135B"/>
    <w:rsid w:val="00BE5C63"/>
    <w:rsid w:val="00BE60DE"/>
    <w:rsid w:val="00BE67EA"/>
    <w:rsid w:val="00BE6F6A"/>
    <w:rsid w:val="00BF0CE9"/>
    <w:rsid w:val="00BF0DC6"/>
    <w:rsid w:val="00C00606"/>
    <w:rsid w:val="00C21F03"/>
    <w:rsid w:val="00C24834"/>
    <w:rsid w:val="00C26B24"/>
    <w:rsid w:val="00C31BE0"/>
    <w:rsid w:val="00C3298D"/>
    <w:rsid w:val="00C32BE8"/>
    <w:rsid w:val="00C414E4"/>
    <w:rsid w:val="00C4724F"/>
    <w:rsid w:val="00C50158"/>
    <w:rsid w:val="00C66A23"/>
    <w:rsid w:val="00C76903"/>
    <w:rsid w:val="00C77A73"/>
    <w:rsid w:val="00C82AC4"/>
    <w:rsid w:val="00C82C3F"/>
    <w:rsid w:val="00C919F5"/>
    <w:rsid w:val="00C948B7"/>
    <w:rsid w:val="00C94EA6"/>
    <w:rsid w:val="00CA1D4D"/>
    <w:rsid w:val="00CA2585"/>
    <w:rsid w:val="00CB28E8"/>
    <w:rsid w:val="00CB2CDA"/>
    <w:rsid w:val="00CD5240"/>
    <w:rsid w:val="00CD5264"/>
    <w:rsid w:val="00CD6BCF"/>
    <w:rsid w:val="00CF02BC"/>
    <w:rsid w:val="00D10EE6"/>
    <w:rsid w:val="00D1429B"/>
    <w:rsid w:val="00D27CF1"/>
    <w:rsid w:val="00D34947"/>
    <w:rsid w:val="00D56373"/>
    <w:rsid w:val="00D60D87"/>
    <w:rsid w:val="00D70BE2"/>
    <w:rsid w:val="00D72944"/>
    <w:rsid w:val="00D80D7A"/>
    <w:rsid w:val="00D84171"/>
    <w:rsid w:val="00D85AAF"/>
    <w:rsid w:val="00D874D8"/>
    <w:rsid w:val="00D96661"/>
    <w:rsid w:val="00DA090E"/>
    <w:rsid w:val="00DA3E06"/>
    <w:rsid w:val="00DB4D22"/>
    <w:rsid w:val="00DB6C70"/>
    <w:rsid w:val="00DC6CB0"/>
    <w:rsid w:val="00DC7B35"/>
    <w:rsid w:val="00DD0905"/>
    <w:rsid w:val="00DD11B6"/>
    <w:rsid w:val="00DD2FDB"/>
    <w:rsid w:val="00DD3905"/>
    <w:rsid w:val="00DE3DA9"/>
    <w:rsid w:val="00DF0DF6"/>
    <w:rsid w:val="00E01601"/>
    <w:rsid w:val="00E02914"/>
    <w:rsid w:val="00E123D0"/>
    <w:rsid w:val="00E30C28"/>
    <w:rsid w:val="00E54223"/>
    <w:rsid w:val="00E5427A"/>
    <w:rsid w:val="00E574CB"/>
    <w:rsid w:val="00E616FE"/>
    <w:rsid w:val="00E61ABC"/>
    <w:rsid w:val="00E67AFC"/>
    <w:rsid w:val="00E956B6"/>
    <w:rsid w:val="00E972CF"/>
    <w:rsid w:val="00EA5CE5"/>
    <w:rsid w:val="00EB6AB2"/>
    <w:rsid w:val="00ED03EB"/>
    <w:rsid w:val="00ED1431"/>
    <w:rsid w:val="00ED40E8"/>
    <w:rsid w:val="00ED6AAD"/>
    <w:rsid w:val="00EE67DF"/>
    <w:rsid w:val="00EF128E"/>
    <w:rsid w:val="00F1425A"/>
    <w:rsid w:val="00F21330"/>
    <w:rsid w:val="00F21F5B"/>
    <w:rsid w:val="00F238C4"/>
    <w:rsid w:val="00F23B79"/>
    <w:rsid w:val="00F3256A"/>
    <w:rsid w:val="00F3371C"/>
    <w:rsid w:val="00F4206F"/>
    <w:rsid w:val="00F420B0"/>
    <w:rsid w:val="00F42DDF"/>
    <w:rsid w:val="00F52CE1"/>
    <w:rsid w:val="00F612BB"/>
    <w:rsid w:val="00F617C2"/>
    <w:rsid w:val="00F64953"/>
    <w:rsid w:val="00F72579"/>
    <w:rsid w:val="00F76936"/>
    <w:rsid w:val="00F91636"/>
    <w:rsid w:val="00F9262E"/>
    <w:rsid w:val="00F93A04"/>
    <w:rsid w:val="00F94B8C"/>
    <w:rsid w:val="00FA1F71"/>
    <w:rsid w:val="00FA2BBA"/>
    <w:rsid w:val="00FA2FC1"/>
    <w:rsid w:val="00FB2834"/>
    <w:rsid w:val="00FB581E"/>
    <w:rsid w:val="00FD1851"/>
    <w:rsid w:val="00FD3687"/>
    <w:rsid w:val="00FE1038"/>
    <w:rsid w:val="13812700"/>
    <w:rsid w:val="15924A0C"/>
    <w:rsid w:val="1F4470C6"/>
    <w:rsid w:val="264D4969"/>
    <w:rsid w:val="4DE4065A"/>
    <w:rsid w:val="56860863"/>
    <w:rsid w:val="5AEA6A34"/>
    <w:rsid w:val="7AA11240"/>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nhideWhenUsed="0" w:uiPriority="0" w:semiHidden="0" w:name="Body Text Indent 2"/>
    <w:lsdException w:unhideWhenUsed="0" w:uiPriority="0" w:semiHidden="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exact"/>
      <w:ind w:left="100" w:hanging="100" w:hangingChars="100"/>
      <w:jc w:val="both"/>
    </w:pPr>
    <w:rPr>
      <w:rFonts w:ascii="Century" w:hAnsi="Century" w:eastAsia="ＭＳ 明朝" w:cs="Times New Roman"/>
      <w:kern w:val="2"/>
      <w:sz w:val="21"/>
      <w:szCs w:val="24"/>
      <w:lang w:val="en-US" w:eastAsia="ja-JP" w:bidi="ar-SA"/>
    </w:rPr>
  </w:style>
  <w:style w:type="character" w:default="1" w:styleId="8">
    <w:name w:val="Default Paragraph Font"/>
    <w:unhideWhenUsed/>
    <w:uiPriority w:val="1"/>
  </w:style>
  <w:style w:type="table" w:default="1" w:styleId="11">
    <w:name w:val="Normal Table"/>
    <w:unhideWhenUsed/>
    <w:uiPriority w:val="99"/>
    <w:tblPr>
      <w:tblStyle w:val="11"/>
      <w:tblLayout w:type="fixed"/>
      <w:tblCellMar>
        <w:top w:w="0" w:type="dxa"/>
        <w:left w:w="108" w:type="dxa"/>
        <w:bottom w:w="0" w:type="dxa"/>
        <w:right w:w="108" w:type="dxa"/>
      </w:tblCellMar>
    </w:tblPr>
    <w:tcPr>
      <w:textDirection w:val="lrTb"/>
    </w:tcPr>
  </w:style>
  <w:style w:type="paragraph" w:styleId="2">
    <w:name w:val="Body Text Indent 2"/>
    <w:basedOn w:val="1"/>
    <w:uiPriority w:val="0"/>
    <w:pPr>
      <w:ind w:left="630" w:leftChars="200" w:hanging="210"/>
    </w:pPr>
  </w:style>
  <w:style w:type="paragraph" w:styleId="3">
    <w:name w:val="footer"/>
    <w:basedOn w:val="1"/>
    <w:link w:val="15"/>
    <w:uiPriority w:val="0"/>
    <w:pPr>
      <w:tabs>
        <w:tab w:val="center" w:pos="4252"/>
        <w:tab w:val="right" w:pos="8504"/>
      </w:tabs>
      <w:snapToGrid w:val="0"/>
    </w:pPr>
  </w:style>
  <w:style w:type="paragraph" w:styleId="4">
    <w:name w:val="Plain Text"/>
    <w:basedOn w:val="1"/>
    <w:link w:val="16"/>
    <w:uiPriority w:val="0"/>
    <w:rPr>
      <w:rFonts w:ascii="ＭＳ 明朝" w:hAnsi="Courier New"/>
      <w:szCs w:val="21"/>
    </w:rPr>
  </w:style>
  <w:style w:type="paragraph" w:styleId="5">
    <w:name w:val="Body Text Indent"/>
    <w:basedOn w:val="1"/>
    <w:uiPriority w:val="0"/>
    <w:pPr>
      <w:ind w:left="420" w:leftChars="100" w:hanging="210"/>
    </w:pPr>
  </w:style>
  <w:style w:type="paragraph" w:styleId="6">
    <w:name w:val="Body Text Indent 3"/>
    <w:basedOn w:val="1"/>
    <w:link w:val="17"/>
    <w:uiPriority w:val="0"/>
    <w:pPr>
      <w:ind w:firstLine="210" w:firstLineChars="100"/>
    </w:pPr>
  </w:style>
  <w:style w:type="paragraph" w:styleId="7">
    <w:name w:val="header"/>
    <w:basedOn w:val="1"/>
    <w:link w:val="14"/>
    <w:uiPriority w:val="0"/>
    <w:pPr>
      <w:tabs>
        <w:tab w:val="center" w:pos="4252"/>
        <w:tab w:val="right" w:pos="8504"/>
      </w:tabs>
      <w:snapToGrid w:val="0"/>
    </w:pPr>
  </w:style>
  <w:style w:type="character" w:styleId="9">
    <w:name w:val="Hyperlink"/>
    <w:uiPriority w:val="0"/>
    <w:rPr>
      <w:color w:val="0000FF"/>
      <w:u w:val="single"/>
    </w:rPr>
  </w:style>
  <w:style w:type="character" w:styleId="10">
    <w:name w:val="FollowedHyperlink"/>
    <w:uiPriority w:val="0"/>
    <w:rPr>
      <w:color w:val="800080"/>
      <w:u w:val="single"/>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3">
    <w:name w:val="List Paragraph"/>
    <w:basedOn w:val="1"/>
    <w:qFormat/>
    <w:uiPriority w:val="34"/>
    <w:pPr>
      <w:ind w:left="840" w:leftChars="400"/>
    </w:pPr>
    <w:rPr>
      <w:szCs w:val="22"/>
    </w:rPr>
  </w:style>
  <w:style w:type="character" w:customStyle="1" w:styleId="14">
    <w:name w:val="ヘッダー (文字)"/>
    <w:link w:val="7"/>
    <w:uiPriority w:val="0"/>
    <w:rPr>
      <w:kern w:val="2"/>
      <w:sz w:val="21"/>
      <w:szCs w:val="24"/>
    </w:rPr>
  </w:style>
  <w:style w:type="character" w:customStyle="1" w:styleId="15">
    <w:name w:val="フッター (文字)"/>
    <w:link w:val="3"/>
    <w:uiPriority w:val="0"/>
    <w:rPr>
      <w:kern w:val="2"/>
      <w:sz w:val="21"/>
      <w:szCs w:val="24"/>
    </w:rPr>
  </w:style>
  <w:style w:type="character" w:customStyle="1" w:styleId="16">
    <w:name w:val="書式なし (文字)"/>
    <w:link w:val="4"/>
    <w:uiPriority w:val="0"/>
    <w:rPr>
      <w:rFonts w:ascii="ＭＳ 明朝" w:hAnsi="Courier New"/>
      <w:kern w:val="2"/>
      <w:sz w:val="21"/>
      <w:szCs w:val="21"/>
    </w:rPr>
  </w:style>
  <w:style w:type="character" w:customStyle="1" w:styleId="17">
    <w:name w:val="本文インデント 3 (文字)"/>
    <w:link w:val="6"/>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Ministry Of Finance</Company>
  <Pages>2</Pages>
  <Words>294</Words>
  <Characters>1677</Characters>
  <Lines>13</Lines>
  <Paragraphs>3</Paragraphs>
  <ScaleCrop>false</ScaleCrop>
  <LinksUpToDate>false</LinksUpToDate>
  <CharactersWithSpaces>0</CharactersWithSpaces>
  <Application>Kingsoft Office Professional_9.1.0.4922_{F1E327BC-269C-435d-A152-05C5408002CA}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2023-03-31T04:22:00Z</dcterms:created>
  <dc:creator>H000026G</dc:creator>
  <cp:lastModifiedBy>恒久</cp:lastModifiedBy>
  <cp:lastPrinted>2018-03-30T08:18:00Z</cp:lastPrinted>
  <dcterms:modified xsi:type="dcterms:W3CDTF">2026-04-03T07:15:31Z</dcterms:modified>
  <dc:title>関税法施行令</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1041-9.1.0.4922</vt:lpwstr>
  </property>
</Properties>
</file>